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9D62E" w14:textId="77777777" w:rsidR="00985578" w:rsidRPr="00350985" w:rsidRDefault="00985578" w:rsidP="00985578">
      <w:pPr>
        <w:jc w:val="center"/>
        <w:rPr>
          <w:strike/>
        </w:rPr>
      </w:pPr>
    </w:p>
    <w:p w14:paraId="587A8ADC" w14:textId="77777777" w:rsidR="00985578" w:rsidRPr="000B618F" w:rsidRDefault="00985578" w:rsidP="00985578">
      <w:pPr>
        <w:jc w:val="center"/>
        <w:rPr>
          <w:b/>
          <w:sz w:val="28"/>
          <w:szCs w:val="28"/>
        </w:rPr>
      </w:pPr>
      <w:r w:rsidRPr="000B618F">
        <w:rPr>
          <w:b/>
          <w:sz w:val="28"/>
          <w:szCs w:val="28"/>
        </w:rPr>
        <w:t>Relatoría</w:t>
      </w:r>
    </w:p>
    <w:p w14:paraId="702E0657" w14:textId="77777777" w:rsidR="00985578" w:rsidRPr="000B618F" w:rsidRDefault="00824022" w:rsidP="00985578">
      <w:pPr>
        <w:jc w:val="center"/>
        <w:rPr>
          <w:b/>
          <w:sz w:val="28"/>
          <w:szCs w:val="28"/>
        </w:rPr>
      </w:pPr>
      <w:r w:rsidRPr="000B618F">
        <w:rPr>
          <w:b/>
          <w:sz w:val="28"/>
          <w:szCs w:val="28"/>
        </w:rPr>
        <w:t xml:space="preserve">4° Reunión </w:t>
      </w:r>
      <w:r w:rsidR="00985578" w:rsidRPr="000B618F">
        <w:rPr>
          <w:b/>
          <w:sz w:val="28"/>
          <w:szCs w:val="28"/>
        </w:rPr>
        <w:t xml:space="preserve">Comunidad de Prácticas </w:t>
      </w:r>
      <w:r w:rsidR="001061B3" w:rsidRPr="000B618F">
        <w:rPr>
          <w:b/>
          <w:sz w:val="28"/>
          <w:szCs w:val="28"/>
        </w:rPr>
        <w:t>-</w:t>
      </w:r>
      <w:r w:rsidR="00985578" w:rsidRPr="000B618F">
        <w:rPr>
          <w:b/>
          <w:sz w:val="28"/>
          <w:szCs w:val="28"/>
        </w:rPr>
        <w:t xml:space="preserve"> América Latina</w:t>
      </w:r>
    </w:p>
    <w:p w14:paraId="30B63171" w14:textId="77777777" w:rsidR="00985578" w:rsidRPr="000B618F" w:rsidRDefault="00985578" w:rsidP="00985578">
      <w:pPr>
        <w:jc w:val="center"/>
        <w:rPr>
          <w:b/>
          <w:sz w:val="28"/>
          <w:szCs w:val="28"/>
        </w:rPr>
      </w:pPr>
      <w:r w:rsidRPr="000B618F">
        <w:rPr>
          <w:b/>
          <w:sz w:val="28"/>
          <w:szCs w:val="28"/>
        </w:rPr>
        <w:t xml:space="preserve">Proyecto </w:t>
      </w:r>
      <w:r w:rsidR="00824022" w:rsidRPr="000B618F">
        <w:rPr>
          <w:b/>
          <w:sz w:val="28"/>
          <w:szCs w:val="28"/>
        </w:rPr>
        <w:t>ACT On Gender</w:t>
      </w:r>
    </w:p>
    <w:p w14:paraId="58937D03" w14:textId="77777777" w:rsidR="00054085" w:rsidRDefault="00537F82" w:rsidP="00985578">
      <w:pPr>
        <w:jc w:val="center"/>
      </w:pPr>
      <w:r>
        <w:rPr>
          <w:sz w:val="28"/>
          <w:szCs w:val="28"/>
        </w:rPr>
        <w:pict w14:anchorId="0423158E">
          <v:rect id="_x0000_i1025" style="width:0;height:1.5pt" o:hralign="center" o:hrstd="t" o:hr="t" fillcolor="#a0a0a0" stroked="f"/>
        </w:pict>
      </w:r>
    </w:p>
    <w:p w14:paraId="2D2FC870" w14:textId="77777777" w:rsidR="001061B3" w:rsidRPr="004F5C71" w:rsidRDefault="001061B3" w:rsidP="004A379F">
      <w:pPr>
        <w:jc w:val="both"/>
        <w:rPr>
          <w:sz w:val="24"/>
          <w:szCs w:val="24"/>
        </w:rPr>
      </w:pPr>
      <w:r w:rsidRPr="004F5C71">
        <w:rPr>
          <w:sz w:val="24"/>
          <w:szCs w:val="24"/>
        </w:rPr>
        <w:t xml:space="preserve">El día martes 5 de mayo se llevó a cabo la 4ta Reunión virtual de la Comunidad de Prácticas coordinada por la Cátedra Regional UNESCO Mujer Ciencia y Tecnología y FLACSO Argentina, con la participación de 14 </w:t>
      </w:r>
      <w:r w:rsidR="00366F60">
        <w:rPr>
          <w:sz w:val="24"/>
          <w:szCs w:val="24"/>
        </w:rPr>
        <w:t xml:space="preserve">personas representantes de </w:t>
      </w:r>
      <w:r w:rsidRPr="004F5C71">
        <w:rPr>
          <w:sz w:val="24"/>
          <w:szCs w:val="24"/>
        </w:rPr>
        <w:t>instituciones académicas de distintos países de América Latina  (Argentina, Brasil, Costa Rica, Chile, Perú, Colombia</w:t>
      </w:r>
      <w:r w:rsidR="00B54406" w:rsidRPr="004F5C71">
        <w:rPr>
          <w:sz w:val="24"/>
          <w:szCs w:val="24"/>
        </w:rPr>
        <w:t>, México</w:t>
      </w:r>
      <w:r w:rsidRPr="004F5C71">
        <w:rPr>
          <w:sz w:val="24"/>
          <w:szCs w:val="24"/>
        </w:rPr>
        <w:t>)</w:t>
      </w:r>
      <w:r w:rsidR="00A26BD5" w:rsidRPr="004F5C71">
        <w:rPr>
          <w:rStyle w:val="Refdenotaalpie"/>
          <w:sz w:val="24"/>
          <w:szCs w:val="24"/>
        </w:rPr>
        <w:footnoteReference w:id="1"/>
      </w:r>
      <w:r w:rsidR="00A26BD5">
        <w:rPr>
          <w:sz w:val="24"/>
          <w:szCs w:val="24"/>
        </w:rPr>
        <w:t>,</w:t>
      </w:r>
      <w:r w:rsidRPr="004F5C71">
        <w:rPr>
          <w:sz w:val="24"/>
          <w:szCs w:val="24"/>
        </w:rPr>
        <w:t xml:space="preserve"> las que compartieron experiencias y desafíos en torno a la construcción de políticas de igualdad de género en las instituciones de educación superior.</w:t>
      </w:r>
    </w:p>
    <w:p w14:paraId="1D293D31" w14:textId="77777777" w:rsidR="004A379F" w:rsidRDefault="00A26BD5" w:rsidP="004A379F">
      <w:pPr>
        <w:jc w:val="both"/>
        <w:rPr>
          <w:sz w:val="24"/>
          <w:szCs w:val="24"/>
        </w:rPr>
      </w:pPr>
      <w:r>
        <w:rPr>
          <w:sz w:val="24"/>
          <w:szCs w:val="24"/>
        </w:rPr>
        <w:t xml:space="preserve">Esta fue la 4° reunión de la </w:t>
      </w:r>
      <w:proofErr w:type="spellStart"/>
      <w:r>
        <w:rPr>
          <w:sz w:val="24"/>
          <w:szCs w:val="24"/>
        </w:rPr>
        <w:t>CoP</w:t>
      </w:r>
      <w:proofErr w:type="spellEnd"/>
      <w:r>
        <w:rPr>
          <w:sz w:val="24"/>
          <w:szCs w:val="24"/>
        </w:rPr>
        <w:t xml:space="preserve"> LAC y su </w:t>
      </w:r>
      <w:r w:rsidR="001061B3" w:rsidRPr="004F5C71">
        <w:rPr>
          <w:sz w:val="24"/>
          <w:szCs w:val="24"/>
        </w:rPr>
        <w:t>convocatoria tuvo como propósito propiciar un espacio de</w:t>
      </w:r>
      <w:r>
        <w:rPr>
          <w:sz w:val="24"/>
          <w:szCs w:val="24"/>
        </w:rPr>
        <w:t xml:space="preserve"> dialogo </w:t>
      </w:r>
      <w:r w:rsidR="001061B3" w:rsidRPr="004F5C71">
        <w:rPr>
          <w:sz w:val="24"/>
          <w:szCs w:val="24"/>
        </w:rPr>
        <w:t xml:space="preserve"> diálogo y reflexión para compartir visiones sobre el estado de situación actual - a partir de </w:t>
      </w:r>
      <w:r>
        <w:rPr>
          <w:sz w:val="24"/>
          <w:szCs w:val="24"/>
        </w:rPr>
        <w:t xml:space="preserve">la </w:t>
      </w:r>
      <w:r w:rsidR="001061B3" w:rsidRPr="004F5C71">
        <w:rPr>
          <w:sz w:val="24"/>
          <w:szCs w:val="24"/>
        </w:rPr>
        <w:t xml:space="preserve">pandemia del COVID 19- en las </w:t>
      </w:r>
      <w:r w:rsidR="004A379F" w:rsidRPr="004F5C71">
        <w:rPr>
          <w:sz w:val="24"/>
          <w:szCs w:val="24"/>
        </w:rPr>
        <w:t>distintas unidades académicas</w:t>
      </w:r>
      <w:r>
        <w:rPr>
          <w:sz w:val="24"/>
          <w:szCs w:val="24"/>
        </w:rPr>
        <w:t>,</w:t>
      </w:r>
      <w:r w:rsidR="004A379F" w:rsidRPr="004F5C71">
        <w:rPr>
          <w:sz w:val="24"/>
          <w:szCs w:val="24"/>
        </w:rPr>
        <w:t xml:space="preserve">  la adecuación a los entornos virtuales de aprendizaje y en qué medida estas nuevas modalidades no presenciales redefinen o no las acciones de Igualdad de género.</w:t>
      </w:r>
    </w:p>
    <w:p w14:paraId="521D45BC" w14:textId="77777777" w:rsidR="004A379F" w:rsidRPr="004F5C71" w:rsidRDefault="004A379F" w:rsidP="004A379F">
      <w:pPr>
        <w:jc w:val="both"/>
        <w:rPr>
          <w:sz w:val="24"/>
          <w:szCs w:val="24"/>
        </w:rPr>
      </w:pPr>
      <w:r w:rsidRPr="004F5C71">
        <w:rPr>
          <w:sz w:val="24"/>
          <w:szCs w:val="24"/>
        </w:rPr>
        <w:t xml:space="preserve">La reunión se inició  con una breve introducción de Gloria </w:t>
      </w:r>
      <w:proofErr w:type="spellStart"/>
      <w:r w:rsidRPr="004F5C71">
        <w:rPr>
          <w:sz w:val="24"/>
          <w:szCs w:val="24"/>
        </w:rPr>
        <w:t>Bonder</w:t>
      </w:r>
      <w:proofErr w:type="spellEnd"/>
      <w:r w:rsidRPr="004F5C71">
        <w:rPr>
          <w:sz w:val="24"/>
          <w:szCs w:val="24"/>
        </w:rPr>
        <w:t xml:space="preserve"> </w:t>
      </w:r>
      <w:r w:rsidR="00A26BD5">
        <w:rPr>
          <w:sz w:val="24"/>
          <w:szCs w:val="24"/>
        </w:rPr>
        <w:t xml:space="preserve">quién presentó nuevamente las características generales del Proyecto </w:t>
      </w:r>
      <w:r w:rsidRPr="004F5C71">
        <w:rPr>
          <w:sz w:val="24"/>
          <w:szCs w:val="24"/>
        </w:rPr>
        <w:t xml:space="preserve">ACT </w:t>
      </w:r>
      <w:proofErr w:type="spellStart"/>
      <w:r w:rsidRPr="004F5C71">
        <w:rPr>
          <w:sz w:val="24"/>
          <w:szCs w:val="24"/>
        </w:rPr>
        <w:t>On</w:t>
      </w:r>
      <w:proofErr w:type="spellEnd"/>
      <w:r w:rsidRPr="004F5C71">
        <w:rPr>
          <w:sz w:val="24"/>
          <w:szCs w:val="24"/>
        </w:rPr>
        <w:t xml:space="preserve"> </w:t>
      </w:r>
      <w:proofErr w:type="spellStart"/>
      <w:r w:rsidRPr="004F5C71">
        <w:rPr>
          <w:sz w:val="24"/>
          <w:szCs w:val="24"/>
        </w:rPr>
        <w:t>Gender</w:t>
      </w:r>
      <w:proofErr w:type="spellEnd"/>
      <w:r w:rsidR="00A26BD5">
        <w:rPr>
          <w:sz w:val="24"/>
          <w:szCs w:val="24"/>
        </w:rPr>
        <w:t xml:space="preserve">, sus objetivos, las instituciones europeas que lo integran, así como también se brindó información sobre las </w:t>
      </w:r>
      <w:r w:rsidRPr="004F5C71">
        <w:rPr>
          <w:sz w:val="24"/>
          <w:szCs w:val="24"/>
        </w:rPr>
        <w:t xml:space="preserve"> Comunidades de Prácticas</w:t>
      </w:r>
      <w:r w:rsidR="00A26BD5">
        <w:rPr>
          <w:sz w:val="24"/>
          <w:szCs w:val="24"/>
        </w:rPr>
        <w:t xml:space="preserve"> conformadas en Europa. En dicho marco se hizo también una </w:t>
      </w:r>
      <w:r w:rsidR="00E35DEC" w:rsidRPr="004F5C71">
        <w:rPr>
          <w:sz w:val="24"/>
          <w:szCs w:val="24"/>
        </w:rPr>
        <w:t xml:space="preserve"> puesta en común </w:t>
      </w:r>
      <w:r w:rsidR="00366F60">
        <w:rPr>
          <w:sz w:val="24"/>
          <w:szCs w:val="24"/>
        </w:rPr>
        <w:t xml:space="preserve">de </w:t>
      </w:r>
      <w:r w:rsidRPr="004F5C71">
        <w:rPr>
          <w:sz w:val="24"/>
          <w:szCs w:val="24"/>
        </w:rPr>
        <w:t>las actividades realizadas por la CoP América Latina desde su conformación en el mes de noviembre de 2019</w:t>
      </w:r>
      <w:r w:rsidR="00E35DEC" w:rsidRPr="004F5C71">
        <w:rPr>
          <w:sz w:val="24"/>
          <w:szCs w:val="24"/>
        </w:rPr>
        <w:t xml:space="preserve"> hasta la actualidad</w:t>
      </w:r>
      <w:r w:rsidR="00E35DEC" w:rsidRPr="004F5C71">
        <w:rPr>
          <w:rStyle w:val="Refdenotaalpie"/>
          <w:sz w:val="24"/>
          <w:szCs w:val="24"/>
        </w:rPr>
        <w:footnoteReference w:id="2"/>
      </w:r>
      <w:r w:rsidRPr="004F5C71">
        <w:rPr>
          <w:sz w:val="24"/>
          <w:szCs w:val="24"/>
        </w:rPr>
        <w:t>. Luego cada participante compartió una síntesis del estado de situación de las acciones y políticas de igualdad de género en sus respectivas instituciones y se debatió sobre los efectos percibidos a partir de la adecuación de la vida académica a los nuevos entornos virtuales.</w:t>
      </w:r>
    </w:p>
    <w:p w14:paraId="48091B55" w14:textId="77777777" w:rsidR="0002610B" w:rsidRPr="004F5C71" w:rsidRDefault="001061B3" w:rsidP="00E37CDF">
      <w:pPr>
        <w:jc w:val="both"/>
        <w:rPr>
          <w:sz w:val="24"/>
          <w:szCs w:val="24"/>
        </w:rPr>
      </w:pPr>
      <w:r w:rsidRPr="004F5C71">
        <w:rPr>
          <w:sz w:val="24"/>
          <w:szCs w:val="24"/>
        </w:rPr>
        <w:t xml:space="preserve"> </w:t>
      </w:r>
      <w:r w:rsidR="004A379F" w:rsidRPr="004F5C71">
        <w:rPr>
          <w:sz w:val="24"/>
          <w:szCs w:val="24"/>
        </w:rPr>
        <w:t xml:space="preserve">A continuación se </w:t>
      </w:r>
      <w:r w:rsidR="00DC7E46" w:rsidRPr="004F5C71">
        <w:rPr>
          <w:sz w:val="24"/>
          <w:szCs w:val="24"/>
        </w:rPr>
        <w:t>expone una breve síntesis de los aspectos conversados en la reunión</w:t>
      </w:r>
      <w:r w:rsidR="00652B1C">
        <w:rPr>
          <w:sz w:val="24"/>
          <w:szCs w:val="24"/>
        </w:rPr>
        <w:t xml:space="preserve">; desde ya que allí se compartió una cantidad y diversidad de información relevante </w:t>
      </w:r>
      <w:r w:rsidR="00E37CDF">
        <w:rPr>
          <w:sz w:val="24"/>
          <w:szCs w:val="24"/>
        </w:rPr>
        <w:t xml:space="preserve">mucho </w:t>
      </w:r>
      <w:r w:rsidR="00652B1C">
        <w:rPr>
          <w:sz w:val="24"/>
          <w:szCs w:val="24"/>
        </w:rPr>
        <w:t xml:space="preserve">más exhaustiva y detallada que </w:t>
      </w:r>
      <w:r w:rsidR="00E37CDF">
        <w:rPr>
          <w:sz w:val="24"/>
          <w:szCs w:val="24"/>
        </w:rPr>
        <w:t xml:space="preserve">la que aquí se sintetiza, </w:t>
      </w:r>
      <w:r w:rsidR="00652B1C">
        <w:rPr>
          <w:sz w:val="24"/>
          <w:szCs w:val="24"/>
        </w:rPr>
        <w:t xml:space="preserve"> a la que se puede </w:t>
      </w:r>
      <w:r w:rsidR="00DC7E46" w:rsidRPr="004F5C71">
        <w:rPr>
          <w:sz w:val="24"/>
          <w:szCs w:val="24"/>
        </w:rPr>
        <w:t xml:space="preserve"> acceder </w:t>
      </w:r>
      <w:r w:rsidR="00652B1C">
        <w:rPr>
          <w:sz w:val="24"/>
          <w:szCs w:val="24"/>
        </w:rPr>
        <w:t>ingresando al link  de</w:t>
      </w:r>
      <w:r w:rsidR="00DC7E46" w:rsidRPr="004F5C71">
        <w:rPr>
          <w:sz w:val="24"/>
          <w:szCs w:val="24"/>
        </w:rPr>
        <w:t xml:space="preserve"> la grabación completa</w:t>
      </w:r>
      <w:r w:rsidR="00652B1C">
        <w:rPr>
          <w:sz w:val="24"/>
          <w:szCs w:val="24"/>
        </w:rPr>
        <w:t xml:space="preserve"> de la reunión: </w:t>
      </w:r>
      <w:hyperlink r:id="rId8" w:history="1">
        <w:r w:rsidR="00DC7E46" w:rsidRPr="004F5C71">
          <w:rPr>
            <w:rStyle w:val="Hipervnculo"/>
            <w:sz w:val="24"/>
            <w:szCs w:val="24"/>
          </w:rPr>
          <w:t>https://vimeo.com/user33046253/review/415324419/54bcf2d146</w:t>
        </w:r>
      </w:hyperlink>
      <w:r w:rsidR="00DC7E46" w:rsidRPr="004F5C71">
        <w:rPr>
          <w:sz w:val="24"/>
          <w:szCs w:val="24"/>
        </w:rPr>
        <w:t>)</w:t>
      </w:r>
      <w:r w:rsidR="00652B1C">
        <w:rPr>
          <w:sz w:val="24"/>
          <w:szCs w:val="24"/>
        </w:rPr>
        <w:t>.</w:t>
      </w:r>
    </w:p>
    <w:p w14:paraId="206A6426" w14:textId="77777777" w:rsidR="0002610B" w:rsidRDefault="0002610B"/>
    <w:p w14:paraId="2C90B83C" w14:textId="77777777" w:rsidR="00C95614" w:rsidRDefault="00C95614" w:rsidP="004F5C71">
      <w:pPr>
        <w:pStyle w:val="Prrafodelista"/>
        <w:numPr>
          <w:ilvl w:val="0"/>
          <w:numId w:val="2"/>
        </w:numPr>
        <w:ind w:left="567" w:hanging="567"/>
        <w:jc w:val="both"/>
        <w:rPr>
          <w:sz w:val="24"/>
          <w:szCs w:val="24"/>
        </w:rPr>
      </w:pPr>
      <w:r>
        <w:rPr>
          <w:sz w:val="24"/>
          <w:szCs w:val="24"/>
        </w:rPr>
        <w:t>Se valoró el espacio de la CoP para el intercambio de miradas sobre la situación actual y para compartir experiencias y conocimientos. Varias de las participantes ofrecieron compartir estudios de diagnóstico realizados sobre brechas de género observadas en sus instituciones (por ejemplo, P</w:t>
      </w:r>
      <w:r w:rsidR="00C96004">
        <w:rPr>
          <w:sz w:val="24"/>
          <w:szCs w:val="24"/>
        </w:rPr>
        <w:t>ontificia Universidad Católica de Perú-P</w:t>
      </w:r>
      <w:r>
        <w:rPr>
          <w:sz w:val="24"/>
          <w:szCs w:val="24"/>
        </w:rPr>
        <w:t>UCP encuesta de 2014, Universidad de Chile, estudio del año 2014 “Del biombo a la cátedra”</w:t>
      </w:r>
      <w:r w:rsidR="00C96004">
        <w:rPr>
          <w:sz w:val="24"/>
          <w:szCs w:val="24"/>
        </w:rPr>
        <w:t xml:space="preserve">, el Observatorio de </w:t>
      </w:r>
      <w:r w:rsidR="00C96004" w:rsidRPr="00B54406">
        <w:rPr>
          <w:rFonts w:ascii="Calibri" w:hAnsi="Calibri" w:cs="Calibri"/>
          <w:bCs/>
          <w:color w:val="000000" w:themeColor="text1"/>
          <w:sz w:val="24"/>
          <w:szCs w:val="24"/>
        </w:rPr>
        <w:t>Violencia Laboral y de Genero</w:t>
      </w:r>
      <w:r w:rsidR="00C96004">
        <w:rPr>
          <w:rFonts w:ascii="Calibri" w:hAnsi="Calibri" w:cs="Calibri"/>
          <w:bCs/>
          <w:color w:val="000000" w:themeColor="text1"/>
          <w:sz w:val="24"/>
          <w:szCs w:val="24"/>
        </w:rPr>
        <w:t xml:space="preserve"> de CONICET Argentina</w:t>
      </w:r>
      <w:r w:rsidR="00652B1C">
        <w:rPr>
          <w:rFonts w:ascii="Calibri" w:hAnsi="Calibri" w:cs="Calibri"/>
          <w:bCs/>
          <w:color w:val="000000" w:themeColor="text1"/>
          <w:sz w:val="24"/>
          <w:szCs w:val="24"/>
        </w:rPr>
        <w:t>, el Programa de Igualdad de Género en Ciencia, Tecnología e Innovación-MINCYT Argentina</w:t>
      </w:r>
      <w:r>
        <w:rPr>
          <w:sz w:val="24"/>
          <w:szCs w:val="24"/>
        </w:rPr>
        <w:t xml:space="preserve">), así como producción audiovisual generada en las instituciones como parte de las acciones vinculadas a la violencia de género (por ejemplo: campaña audiovisual </w:t>
      </w:r>
      <w:r w:rsidR="00A22E92">
        <w:rPr>
          <w:sz w:val="24"/>
          <w:szCs w:val="24"/>
        </w:rPr>
        <w:t>Instituto Tecnológico</w:t>
      </w:r>
      <w:r>
        <w:rPr>
          <w:sz w:val="24"/>
          <w:szCs w:val="24"/>
        </w:rPr>
        <w:t xml:space="preserve"> de Costa Rica).</w:t>
      </w:r>
    </w:p>
    <w:p w14:paraId="46F892A3" w14:textId="77777777" w:rsidR="005D6BE3" w:rsidRDefault="005D6BE3" w:rsidP="005D6BE3">
      <w:pPr>
        <w:pStyle w:val="Prrafodelista"/>
        <w:ind w:left="567"/>
        <w:jc w:val="both"/>
        <w:rPr>
          <w:sz w:val="24"/>
          <w:szCs w:val="24"/>
        </w:rPr>
      </w:pPr>
    </w:p>
    <w:p w14:paraId="491E63F0" w14:textId="77777777" w:rsidR="00C156E4" w:rsidRPr="00350985" w:rsidRDefault="00C156E4" w:rsidP="004F5C71">
      <w:pPr>
        <w:pStyle w:val="Prrafodelista"/>
        <w:numPr>
          <w:ilvl w:val="0"/>
          <w:numId w:val="2"/>
        </w:numPr>
        <w:ind w:left="567" w:hanging="567"/>
        <w:jc w:val="both"/>
        <w:rPr>
          <w:rFonts w:cstheme="minorHAnsi"/>
          <w:sz w:val="24"/>
          <w:szCs w:val="24"/>
        </w:rPr>
      </w:pPr>
      <w:r w:rsidRPr="00350985">
        <w:rPr>
          <w:rFonts w:cstheme="minorHAnsi"/>
          <w:sz w:val="24"/>
          <w:szCs w:val="24"/>
        </w:rPr>
        <w:t xml:space="preserve">Algunas de las participantes compartieron estar trabajando en la adecuación del instrumento de diagnóstico </w:t>
      </w:r>
      <w:r w:rsidR="005D6BE3" w:rsidRPr="00350985">
        <w:rPr>
          <w:rFonts w:cstheme="minorHAnsi"/>
          <w:sz w:val="24"/>
          <w:szCs w:val="24"/>
        </w:rPr>
        <w:t xml:space="preserve">GEAM </w:t>
      </w:r>
      <w:r w:rsidRPr="00350985">
        <w:rPr>
          <w:rFonts w:cstheme="minorHAnsi"/>
          <w:sz w:val="24"/>
          <w:szCs w:val="24"/>
        </w:rPr>
        <w:t xml:space="preserve">diseñado en el marco del Proyecto ACT On Gender </w:t>
      </w:r>
      <w:r w:rsidR="005D6BE3" w:rsidRPr="00350985">
        <w:rPr>
          <w:rFonts w:cstheme="minorHAnsi"/>
          <w:sz w:val="24"/>
          <w:szCs w:val="24"/>
        </w:rPr>
        <w:t>para relevar el grado de sensibilidad al género de las instituciones de educación superior  (Universidad de los Andes</w:t>
      </w:r>
      <w:r w:rsidR="00C96004">
        <w:rPr>
          <w:rFonts w:cstheme="minorHAnsi"/>
          <w:sz w:val="24"/>
          <w:szCs w:val="24"/>
        </w:rPr>
        <w:t xml:space="preserve"> de Colombia</w:t>
      </w:r>
      <w:r w:rsidR="005D6BE3" w:rsidRPr="00350985">
        <w:rPr>
          <w:rFonts w:cstheme="minorHAnsi"/>
          <w:sz w:val="24"/>
          <w:szCs w:val="24"/>
        </w:rPr>
        <w:t xml:space="preserve">, </w:t>
      </w:r>
      <w:r w:rsidR="00474A79" w:rsidRPr="00350985">
        <w:rPr>
          <w:rFonts w:cstheme="minorHAnsi"/>
          <w:sz w:val="24"/>
          <w:szCs w:val="24"/>
        </w:rPr>
        <w:t xml:space="preserve">Instituto </w:t>
      </w:r>
      <w:r w:rsidR="005D6BE3" w:rsidRPr="00350985">
        <w:rPr>
          <w:rFonts w:cstheme="minorHAnsi"/>
          <w:sz w:val="24"/>
          <w:szCs w:val="24"/>
        </w:rPr>
        <w:t>Tecnológico de Costa Rica</w:t>
      </w:r>
      <w:r w:rsidR="00C96004">
        <w:rPr>
          <w:rFonts w:cstheme="minorHAnsi"/>
          <w:sz w:val="24"/>
          <w:szCs w:val="24"/>
        </w:rPr>
        <w:t>, PUCP</w:t>
      </w:r>
      <w:r w:rsidR="005D6BE3" w:rsidRPr="00350985">
        <w:rPr>
          <w:rFonts w:cstheme="minorHAnsi"/>
          <w:sz w:val="24"/>
          <w:szCs w:val="24"/>
        </w:rPr>
        <w:t>). En ambos casos</w:t>
      </w:r>
      <w:r w:rsidR="00474A79" w:rsidRPr="00350985">
        <w:rPr>
          <w:rFonts w:cstheme="minorHAnsi"/>
          <w:sz w:val="24"/>
          <w:szCs w:val="24"/>
        </w:rPr>
        <w:t xml:space="preserve"> consideran que el instrumento aporta información sustantiva que puede contribuir significativamente al diseño de acciones específicas y pertinentes. S</w:t>
      </w:r>
      <w:r w:rsidR="005D6BE3" w:rsidRPr="00350985">
        <w:rPr>
          <w:rFonts w:cstheme="minorHAnsi"/>
          <w:sz w:val="24"/>
          <w:szCs w:val="24"/>
        </w:rPr>
        <w:t xml:space="preserve">eñalan que la situación de paréntesis que implico la pandemia hizo que no pudieran aún implementarlo, pero tienen la decisión de hacerlo en breve.  En relación con este instrumento varias de las participantes manifestaron interés en retomar la revisión del mismo y analizar las posibilidades de su implementación. </w:t>
      </w:r>
      <w:r w:rsidR="00350985" w:rsidRPr="00350985">
        <w:rPr>
          <w:rFonts w:cstheme="minorHAnsi"/>
          <w:sz w:val="24"/>
          <w:szCs w:val="24"/>
        </w:rPr>
        <w:t xml:space="preserve">Se puso nuevamente a disposición el link de acceso al cuestionario </w:t>
      </w:r>
      <w:r w:rsidR="00350985" w:rsidRPr="00350985">
        <w:rPr>
          <w:rFonts w:cstheme="minorHAnsi"/>
          <w:color w:val="222222"/>
          <w:sz w:val="24"/>
          <w:szCs w:val="24"/>
          <w:shd w:val="clear" w:color="auto" w:fill="FFFFFF"/>
        </w:rPr>
        <w:t>GEAM CORE: </w:t>
      </w:r>
      <w:hyperlink r:id="rId9" w:tgtFrame="_blank" w:history="1">
        <w:r w:rsidR="00350985" w:rsidRPr="00350985">
          <w:rPr>
            <w:rStyle w:val="Hipervnculo"/>
            <w:rFonts w:cstheme="minorHAnsi"/>
            <w:color w:val="1155CC"/>
            <w:sz w:val="24"/>
            <w:szCs w:val="24"/>
            <w:shd w:val="clear" w:color="auto" w:fill="FFFFFF"/>
          </w:rPr>
          <w:t>https://www.act-on-gender.eu/survey/index.php/511548?lang=es</w:t>
        </w:r>
      </w:hyperlink>
    </w:p>
    <w:p w14:paraId="2DECB72B" w14:textId="77777777" w:rsidR="00C95614" w:rsidRDefault="00C95614" w:rsidP="00C95614">
      <w:pPr>
        <w:pStyle w:val="Prrafodelista"/>
        <w:ind w:left="567"/>
        <w:jc w:val="both"/>
        <w:rPr>
          <w:sz w:val="24"/>
          <w:szCs w:val="24"/>
        </w:rPr>
      </w:pPr>
    </w:p>
    <w:p w14:paraId="6D3BC350" w14:textId="77777777" w:rsidR="0002610B" w:rsidRDefault="00C95614" w:rsidP="004F5C71">
      <w:pPr>
        <w:pStyle w:val="Prrafodelista"/>
        <w:numPr>
          <w:ilvl w:val="0"/>
          <w:numId w:val="2"/>
        </w:numPr>
        <w:ind w:left="567" w:hanging="567"/>
        <w:jc w:val="both"/>
        <w:rPr>
          <w:sz w:val="24"/>
          <w:szCs w:val="24"/>
        </w:rPr>
      </w:pPr>
      <w:r>
        <w:rPr>
          <w:sz w:val="24"/>
          <w:szCs w:val="24"/>
        </w:rPr>
        <w:t>Hubo coincidencias respecto de que l</w:t>
      </w:r>
      <w:r w:rsidR="004F5C71" w:rsidRPr="004F5C71">
        <w:rPr>
          <w:sz w:val="24"/>
          <w:szCs w:val="24"/>
        </w:rPr>
        <w:t>a irrupción de la pandemia COVID 19 implicó para la mayoría de las instituciones presentes la necesidad de re-acomodamientos y cambios en las lógicas de trabajo tanto académicas como de gestión administrativa. En general esto demandó mucho tiempo de gestión de procesos de virtualización y de adecuación de procedimientos y circuitos administrativos</w:t>
      </w:r>
      <w:r w:rsidR="004F5C71">
        <w:rPr>
          <w:sz w:val="24"/>
          <w:szCs w:val="24"/>
        </w:rPr>
        <w:t xml:space="preserve">. En varios casos también implicó </w:t>
      </w:r>
      <w:r>
        <w:rPr>
          <w:sz w:val="24"/>
          <w:szCs w:val="24"/>
        </w:rPr>
        <w:t>un paréntesis en la toma de decisiones que afectó la toma de decisiones respecto de l</w:t>
      </w:r>
      <w:r w:rsidR="004F5C71">
        <w:rPr>
          <w:sz w:val="24"/>
          <w:szCs w:val="24"/>
        </w:rPr>
        <w:t>a gestión de las políticas</w:t>
      </w:r>
      <w:r>
        <w:rPr>
          <w:sz w:val="24"/>
          <w:szCs w:val="24"/>
        </w:rPr>
        <w:t xml:space="preserve"> de igualdad de género, así como </w:t>
      </w:r>
      <w:r w:rsidR="004F5C71">
        <w:rPr>
          <w:sz w:val="24"/>
          <w:szCs w:val="24"/>
        </w:rPr>
        <w:t>en las negociaciones internas para su diseño e implementación.</w:t>
      </w:r>
    </w:p>
    <w:p w14:paraId="28C0B3F9" w14:textId="77777777" w:rsidR="004F5C71" w:rsidRDefault="004F5C71" w:rsidP="004F5C71">
      <w:pPr>
        <w:pStyle w:val="Prrafodelista"/>
        <w:ind w:left="567"/>
        <w:jc w:val="both"/>
        <w:rPr>
          <w:sz w:val="24"/>
          <w:szCs w:val="24"/>
        </w:rPr>
      </w:pPr>
    </w:p>
    <w:p w14:paraId="03C51E1E" w14:textId="77777777" w:rsidR="004F5C71" w:rsidRPr="00265D03" w:rsidRDefault="004F5C71" w:rsidP="00265D03">
      <w:pPr>
        <w:pStyle w:val="Prrafodelista"/>
        <w:numPr>
          <w:ilvl w:val="0"/>
          <w:numId w:val="2"/>
        </w:numPr>
        <w:ind w:left="567" w:hanging="567"/>
        <w:jc w:val="both"/>
        <w:rPr>
          <w:sz w:val="24"/>
          <w:szCs w:val="24"/>
        </w:rPr>
      </w:pPr>
      <w:r>
        <w:rPr>
          <w:sz w:val="24"/>
          <w:szCs w:val="24"/>
        </w:rPr>
        <w:t xml:space="preserve">Se compartieron trayectorias y grados de institucionalización diversos en la implantación de acciones, estrategias y políticas </w:t>
      </w:r>
      <w:r w:rsidR="00C95614">
        <w:rPr>
          <w:sz w:val="24"/>
          <w:szCs w:val="24"/>
        </w:rPr>
        <w:t>de igualdad de género. En el diá</w:t>
      </w:r>
      <w:r>
        <w:rPr>
          <w:sz w:val="24"/>
          <w:szCs w:val="24"/>
        </w:rPr>
        <w:t xml:space="preserve">logo </w:t>
      </w:r>
      <w:r>
        <w:rPr>
          <w:sz w:val="24"/>
          <w:szCs w:val="24"/>
        </w:rPr>
        <w:lastRenderedPageBreak/>
        <w:t>mantenido se destacó la importancia de la institucionalización de los programas y políticas de igualdad de género en los niveles más altos de decisión política de las instituciones</w:t>
      </w:r>
      <w:r w:rsidR="00C95614">
        <w:rPr>
          <w:sz w:val="24"/>
          <w:szCs w:val="24"/>
        </w:rPr>
        <w:t xml:space="preserve"> (Universidad de Chile, Universidad Nacional de Rosario, Universidad Nacional Autónoma de México</w:t>
      </w:r>
      <w:r w:rsidR="00CC48EE">
        <w:rPr>
          <w:sz w:val="24"/>
          <w:szCs w:val="24"/>
        </w:rPr>
        <w:t>, Universidad Nacional de Río Negro</w:t>
      </w:r>
      <w:r w:rsidR="00C95614">
        <w:rPr>
          <w:sz w:val="24"/>
          <w:szCs w:val="24"/>
        </w:rPr>
        <w:t>)</w:t>
      </w:r>
      <w:r>
        <w:rPr>
          <w:sz w:val="24"/>
          <w:szCs w:val="24"/>
        </w:rPr>
        <w:t xml:space="preserve">. Esto se revela </w:t>
      </w:r>
      <w:r w:rsidR="00652B1C">
        <w:rPr>
          <w:sz w:val="24"/>
          <w:szCs w:val="24"/>
        </w:rPr>
        <w:t>-</w:t>
      </w:r>
      <w:r>
        <w:rPr>
          <w:sz w:val="24"/>
          <w:szCs w:val="24"/>
        </w:rPr>
        <w:t xml:space="preserve">a la </w:t>
      </w:r>
      <w:r w:rsidRPr="00265D03">
        <w:rPr>
          <w:sz w:val="24"/>
          <w:szCs w:val="24"/>
        </w:rPr>
        <w:t xml:space="preserve">luz de las experiencias compartidas </w:t>
      </w:r>
      <w:r w:rsidR="00652B1C">
        <w:rPr>
          <w:sz w:val="24"/>
          <w:szCs w:val="24"/>
        </w:rPr>
        <w:t>–</w:t>
      </w:r>
      <w:r w:rsidRPr="00265D03">
        <w:rPr>
          <w:sz w:val="24"/>
          <w:szCs w:val="24"/>
        </w:rPr>
        <w:t>como</w:t>
      </w:r>
      <w:r w:rsidR="00652B1C">
        <w:rPr>
          <w:sz w:val="24"/>
          <w:szCs w:val="24"/>
        </w:rPr>
        <w:t xml:space="preserve"> una</w:t>
      </w:r>
      <w:r w:rsidRPr="00265D03">
        <w:rPr>
          <w:sz w:val="24"/>
          <w:szCs w:val="24"/>
        </w:rPr>
        <w:t xml:space="preserve"> estrategia de sostenibilidad de las políticas de igualdad de género a lo largo del tiempo.</w:t>
      </w:r>
    </w:p>
    <w:p w14:paraId="3C212364" w14:textId="77777777" w:rsidR="004F5C71" w:rsidRDefault="004F5C71" w:rsidP="004F5C71">
      <w:pPr>
        <w:pStyle w:val="Prrafodelista"/>
        <w:ind w:left="567"/>
        <w:jc w:val="both"/>
        <w:rPr>
          <w:sz w:val="24"/>
          <w:szCs w:val="24"/>
        </w:rPr>
      </w:pPr>
    </w:p>
    <w:p w14:paraId="5E577989" w14:textId="77777777" w:rsidR="00474A79" w:rsidRDefault="004F5C71" w:rsidP="00474A79">
      <w:pPr>
        <w:pStyle w:val="Prrafodelista"/>
        <w:numPr>
          <w:ilvl w:val="0"/>
          <w:numId w:val="2"/>
        </w:numPr>
        <w:ind w:left="567" w:hanging="567"/>
        <w:jc w:val="both"/>
        <w:rPr>
          <w:sz w:val="24"/>
          <w:szCs w:val="24"/>
        </w:rPr>
      </w:pPr>
      <w:r>
        <w:rPr>
          <w:sz w:val="24"/>
          <w:szCs w:val="24"/>
        </w:rPr>
        <w:t>Cada un</w:t>
      </w:r>
      <w:r w:rsidR="00C95614">
        <w:rPr>
          <w:sz w:val="24"/>
          <w:szCs w:val="24"/>
        </w:rPr>
        <w:t>a</w:t>
      </w:r>
      <w:r>
        <w:rPr>
          <w:sz w:val="24"/>
          <w:szCs w:val="24"/>
        </w:rPr>
        <w:t xml:space="preserve"> de las experiencias – tanto las de más larga data como las más recientes- han manifestado haber tenido que enfrentar resistencias para avanzar en la visibilización de las desigualdades de género en las instituciones académicas</w:t>
      </w:r>
      <w:r w:rsidR="007E1913">
        <w:rPr>
          <w:sz w:val="24"/>
          <w:szCs w:val="24"/>
        </w:rPr>
        <w:t xml:space="preserve"> Dichas </w:t>
      </w:r>
      <w:r>
        <w:rPr>
          <w:sz w:val="24"/>
          <w:szCs w:val="24"/>
        </w:rPr>
        <w:t>resistencias hacen que los procesos sean lentos en el tiempo y se requiera de un trabajo de sensibilización, generación de evidencias y de lobby continuo para incidir en la toma de decisiones respecto de la importancia estratégica de diseñar e implementar políticas de igualdad de género en las instituciones académicas.</w:t>
      </w:r>
    </w:p>
    <w:p w14:paraId="5CDE5E2D" w14:textId="77777777" w:rsidR="00474A79" w:rsidRDefault="00474A79" w:rsidP="00474A79">
      <w:pPr>
        <w:pStyle w:val="Prrafodelista"/>
      </w:pPr>
    </w:p>
    <w:p w14:paraId="59CFC348" w14:textId="77777777" w:rsidR="00463DE8" w:rsidRDefault="007E1913" w:rsidP="00474A79">
      <w:pPr>
        <w:pStyle w:val="Prrafodelista"/>
        <w:numPr>
          <w:ilvl w:val="0"/>
          <w:numId w:val="2"/>
        </w:numPr>
        <w:ind w:left="567" w:hanging="567"/>
        <w:jc w:val="both"/>
        <w:rPr>
          <w:sz w:val="24"/>
          <w:szCs w:val="24"/>
        </w:rPr>
      </w:pPr>
      <w:r w:rsidRPr="00474A79">
        <w:rPr>
          <w:sz w:val="24"/>
          <w:szCs w:val="24"/>
        </w:rPr>
        <w:t xml:space="preserve">Se comparte que </w:t>
      </w:r>
      <w:r w:rsidR="00366F60">
        <w:rPr>
          <w:sz w:val="24"/>
          <w:szCs w:val="24"/>
        </w:rPr>
        <w:t>l</w:t>
      </w:r>
      <w:r w:rsidRPr="00474A79">
        <w:rPr>
          <w:sz w:val="24"/>
          <w:szCs w:val="24"/>
        </w:rPr>
        <w:t xml:space="preserve">a problemática de violencia contra las mujeres, la violencia de género, el acoso, se presentan como problemáticas urgentes que logran abrir oportunidades para abordar las desigualdades de género, y movilizan la toma de decisiones y el diseño e implementación de estrategias concretas para su abordaje. La mayoría de las instituciones participantes han desarrollado diagnósticos, protocolos de abordaje de la violencia de género y/o han incorporado y priorizado en sus planes de IG esta problemática, o han creado observatorios para el estudio y seguimiento del tema.  (Rectorado de la Universidad de Buenos Aires, UNSAM,  Universidad Federal de Rio Grande Do Sul, UNAM, Universidad </w:t>
      </w:r>
      <w:r w:rsidR="00463DE8" w:rsidRPr="00474A79">
        <w:rPr>
          <w:sz w:val="24"/>
          <w:szCs w:val="24"/>
        </w:rPr>
        <w:t>de Chile, CONICET, entre otras)</w:t>
      </w:r>
      <w:r w:rsidRPr="00474A79">
        <w:rPr>
          <w:sz w:val="24"/>
          <w:szCs w:val="24"/>
        </w:rPr>
        <w:t xml:space="preserve">. Se señala también que es una problemática que en general captura la atención y los recursos, haciendo que otras cuestiones relevantes no sean colocadas en la agenda de las instituciones. No obstante esto aquellas que han logrado </w:t>
      </w:r>
      <w:r w:rsidR="00CB503E" w:rsidRPr="00474A79">
        <w:rPr>
          <w:sz w:val="24"/>
          <w:szCs w:val="24"/>
        </w:rPr>
        <w:t xml:space="preserve">elaborar Planes de Igualdad de Oportunidades para la Igualdad de Género, logran un mejor balance en el abordaje de otras líneas de trabajo tales como políticas de cuidado, de desarrollo equitativo de la carrera académica, etc. </w:t>
      </w:r>
    </w:p>
    <w:p w14:paraId="12838051" w14:textId="77777777" w:rsidR="00A22E92" w:rsidRDefault="00A22E92" w:rsidP="00A22E92">
      <w:pPr>
        <w:pStyle w:val="Prrafodelista"/>
        <w:ind w:left="567"/>
        <w:jc w:val="both"/>
        <w:rPr>
          <w:sz w:val="24"/>
          <w:szCs w:val="24"/>
        </w:rPr>
      </w:pPr>
    </w:p>
    <w:p w14:paraId="59DE7120" w14:textId="77777777" w:rsidR="00CC48EE" w:rsidRPr="00BB436E" w:rsidRDefault="00474A79" w:rsidP="00BB436E">
      <w:pPr>
        <w:pStyle w:val="Prrafodelista"/>
        <w:numPr>
          <w:ilvl w:val="0"/>
          <w:numId w:val="2"/>
        </w:numPr>
        <w:ind w:left="567" w:hanging="567"/>
        <w:jc w:val="both"/>
        <w:rPr>
          <w:sz w:val="24"/>
          <w:szCs w:val="24"/>
        </w:rPr>
      </w:pPr>
      <w:r>
        <w:rPr>
          <w:sz w:val="24"/>
          <w:szCs w:val="24"/>
        </w:rPr>
        <w:t>Coinciden en afirmar que se cuenta con evidencias (tanto a partir de – encuestas como de consultas y/o denuncias recepcionadas) respecto de que el aislamiento provocado por la pandemia</w:t>
      </w:r>
      <w:r w:rsidR="00CC48EE">
        <w:rPr>
          <w:sz w:val="24"/>
          <w:szCs w:val="24"/>
        </w:rPr>
        <w:t>,</w:t>
      </w:r>
      <w:r>
        <w:rPr>
          <w:sz w:val="24"/>
          <w:szCs w:val="24"/>
        </w:rPr>
        <w:t xml:space="preserve"> ha </w:t>
      </w:r>
      <w:r w:rsidR="00CC48EE">
        <w:rPr>
          <w:sz w:val="24"/>
          <w:szCs w:val="24"/>
        </w:rPr>
        <w:t xml:space="preserve">generado </w:t>
      </w:r>
      <w:r>
        <w:rPr>
          <w:sz w:val="24"/>
          <w:szCs w:val="24"/>
        </w:rPr>
        <w:t>un incremento de situaciones de violencia</w:t>
      </w:r>
      <w:r w:rsidR="00CC48EE">
        <w:rPr>
          <w:sz w:val="24"/>
          <w:szCs w:val="24"/>
        </w:rPr>
        <w:t>,</w:t>
      </w:r>
      <w:r>
        <w:rPr>
          <w:sz w:val="24"/>
          <w:szCs w:val="24"/>
        </w:rPr>
        <w:t xml:space="preserve"> ta</w:t>
      </w:r>
      <w:r w:rsidR="00CC48EE">
        <w:rPr>
          <w:sz w:val="24"/>
          <w:szCs w:val="24"/>
        </w:rPr>
        <w:t>n</w:t>
      </w:r>
      <w:r>
        <w:rPr>
          <w:sz w:val="24"/>
          <w:szCs w:val="24"/>
        </w:rPr>
        <w:t xml:space="preserve">to doméstica como entre las y los estudiantes. </w:t>
      </w:r>
      <w:r w:rsidR="00CC48EE">
        <w:rPr>
          <w:sz w:val="24"/>
          <w:szCs w:val="24"/>
        </w:rPr>
        <w:t xml:space="preserve">Esto sin duda obligó a readecuar los dispositivos habilitándose espacios de consulta y contención virtuales, pero también presentó la necesidad de buscar resguardo legales y administrativos  para los </w:t>
      </w:r>
      <w:r w:rsidR="00CC48EE">
        <w:rPr>
          <w:sz w:val="24"/>
          <w:szCs w:val="24"/>
        </w:rPr>
        <w:lastRenderedPageBreak/>
        <w:t xml:space="preserve">procedimientos realizados en el entorno virtual sean considerados legítimos en </w:t>
      </w:r>
      <w:r w:rsidR="00CC48EE" w:rsidRPr="00BB436E">
        <w:rPr>
          <w:sz w:val="24"/>
          <w:szCs w:val="24"/>
        </w:rPr>
        <w:t>términos de proceso administrativo y jurídico. Y que a la vez resguardaran la seguridad y privacidad de los casos (</w:t>
      </w:r>
      <w:r w:rsidR="00652B1C">
        <w:rPr>
          <w:sz w:val="24"/>
          <w:szCs w:val="24"/>
        </w:rPr>
        <w:t xml:space="preserve">Dirección de Derechos Humanos- Rectorado </w:t>
      </w:r>
      <w:r w:rsidR="00CC48EE" w:rsidRPr="00652B1C">
        <w:rPr>
          <w:sz w:val="24"/>
          <w:szCs w:val="24"/>
        </w:rPr>
        <w:t>Universidad Nacional de Buenos Aires</w:t>
      </w:r>
      <w:r w:rsidR="00652B1C">
        <w:rPr>
          <w:sz w:val="24"/>
          <w:szCs w:val="24"/>
        </w:rPr>
        <w:t>-UBA</w:t>
      </w:r>
      <w:r w:rsidR="00CC48EE" w:rsidRPr="00BB436E">
        <w:rPr>
          <w:sz w:val="24"/>
          <w:szCs w:val="24"/>
        </w:rPr>
        <w:t>).</w:t>
      </w:r>
    </w:p>
    <w:p w14:paraId="45A6C053" w14:textId="77777777" w:rsidR="00265D03" w:rsidRPr="00BB436E" w:rsidRDefault="00265D03" w:rsidP="00265D03">
      <w:pPr>
        <w:pStyle w:val="Prrafodelista"/>
        <w:ind w:left="567"/>
        <w:jc w:val="both"/>
        <w:rPr>
          <w:sz w:val="24"/>
          <w:szCs w:val="24"/>
        </w:rPr>
      </w:pPr>
    </w:p>
    <w:p w14:paraId="292D18FB" w14:textId="77777777" w:rsidR="00474A79" w:rsidRDefault="00CC48EE" w:rsidP="00474A79">
      <w:pPr>
        <w:pStyle w:val="Prrafodelista"/>
        <w:numPr>
          <w:ilvl w:val="0"/>
          <w:numId w:val="2"/>
        </w:numPr>
        <w:ind w:left="567" w:hanging="567"/>
        <w:jc w:val="both"/>
        <w:rPr>
          <w:sz w:val="24"/>
          <w:szCs w:val="24"/>
        </w:rPr>
      </w:pPr>
      <w:r w:rsidRPr="00BB436E">
        <w:rPr>
          <w:sz w:val="24"/>
          <w:szCs w:val="24"/>
        </w:rPr>
        <w:t xml:space="preserve"> Se plantearon algunas alarmas en torno al ensanchamiento de la brecha de género en la producción</w:t>
      </w:r>
      <w:r w:rsidR="00A22E92" w:rsidRPr="00BB436E">
        <w:rPr>
          <w:sz w:val="24"/>
          <w:szCs w:val="24"/>
        </w:rPr>
        <w:t xml:space="preserve"> de trabajos </w:t>
      </w:r>
      <w:r w:rsidRPr="00BB436E">
        <w:rPr>
          <w:sz w:val="24"/>
          <w:szCs w:val="24"/>
        </w:rPr>
        <w:t>científic</w:t>
      </w:r>
      <w:r w:rsidR="00A22E92" w:rsidRPr="00BB436E">
        <w:rPr>
          <w:sz w:val="24"/>
          <w:szCs w:val="24"/>
        </w:rPr>
        <w:t>os</w:t>
      </w:r>
      <w:r w:rsidRPr="00BB436E">
        <w:rPr>
          <w:sz w:val="24"/>
          <w:szCs w:val="24"/>
        </w:rPr>
        <w:t xml:space="preserve">, ya que la pandemia está sobrecargando de trabajo </w:t>
      </w:r>
      <w:r w:rsidR="00A22E92" w:rsidRPr="00BB436E">
        <w:rPr>
          <w:sz w:val="24"/>
          <w:szCs w:val="24"/>
        </w:rPr>
        <w:t xml:space="preserve">doméstico </w:t>
      </w:r>
      <w:r w:rsidRPr="00BB436E">
        <w:rPr>
          <w:sz w:val="24"/>
          <w:szCs w:val="24"/>
        </w:rPr>
        <w:t>a las mujeres</w:t>
      </w:r>
      <w:r w:rsidR="00A22E92" w:rsidRPr="00BB436E">
        <w:rPr>
          <w:sz w:val="24"/>
          <w:szCs w:val="24"/>
        </w:rPr>
        <w:t xml:space="preserve">, sobre todo a las que tienen hijos, según algunas encuestas el 50% de las mujeres científicas son únicas cuidadoras, no contando con apoyo para dicha tarea (Universidad Federal de Rio Grande Do Sul). Este fenómeno de </w:t>
      </w:r>
      <w:r w:rsidR="00A22E92" w:rsidRPr="00A22E92">
        <w:rPr>
          <w:sz w:val="24"/>
          <w:szCs w:val="24"/>
        </w:rPr>
        <w:t>sobrecarga también se observa en las alumnas/estudiantes que reciben una mayor presión para hacerse cargo de las tareas domésticas y se dificulta contar con espacios y tiempo propios para seguir las clases virtuales, observándose esto aún en universidades que tienen larga experiencia en la virtualidad (Universidad Nacional de Quilmes)</w:t>
      </w:r>
      <w:r w:rsidR="00A22E92">
        <w:rPr>
          <w:sz w:val="24"/>
          <w:szCs w:val="24"/>
        </w:rPr>
        <w:t>. Se coincidió en la importancia de promover encuestas, investigaciones que permitan dimensionar esta problemática.</w:t>
      </w:r>
    </w:p>
    <w:p w14:paraId="42240D15" w14:textId="77777777" w:rsidR="00A22E92" w:rsidRPr="00A22E92" w:rsidRDefault="00A22E92" w:rsidP="00A22E92">
      <w:pPr>
        <w:pStyle w:val="Prrafodelista"/>
        <w:rPr>
          <w:sz w:val="24"/>
          <w:szCs w:val="24"/>
        </w:rPr>
      </w:pPr>
    </w:p>
    <w:p w14:paraId="7C16A56F" w14:textId="77777777" w:rsidR="00A22E92" w:rsidRPr="00A22E92" w:rsidRDefault="00A22E92" w:rsidP="00474A79">
      <w:pPr>
        <w:pStyle w:val="Prrafodelista"/>
        <w:numPr>
          <w:ilvl w:val="0"/>
          <w:numId w:val="2"/>
        </w:numPr>
        <w:ind w:left="567" w:hanging="567"/>
        <w:jc w:val="both"/>
        <w:rPr>
          <w:sz w:val="24"/>
          <w:szCs w:val="24"/>
        </w:rPr>
      </w:pPr>
      <w:r>
        <w:rPr>
          <w:sz w:val="24"/>
          <w:szCs w:val="24"/>
        </w:rPr>
        <w:t>En el cierre de la reunión se propuso construir colaborativamente los ejes temáticos a abordar en la CoP LAC, para lo cual desde la Coordinación se circulará un cuestionario para relevar los intereses y elaborar a partir de ello la planificación de las próximas reuniones de la CoP.</w:t>
      </w:r>
    </w:p>
    <w:p w14:paraId="0BD5861E" w14:textId="77777777" w:rsidR="00474A79" w:rsidRPr="00474A79" w:rsidRDefault="00474A79" w:rsidP="00474A79">
      <w:pPr>
        <w:jc w:val="both"/>
        <w:rPr>
          <w:sz w:val="24"/>
          <w:szCs w:val="24"/>
        </w:rPr>
      </w:pPr>
    </w:p>
    <w:p w14:paraId="1986EADE" w14:textId="77777777" w:rsidR="00463DE8" w:rsidRDefault="00463DE8" w:rsidP="00463DE8">
      <w:pPr>
        <w:jc w:val="both"/>
      </w:pPr>
    </w:p>
    <w:p w14:paraId="67ED0270" w14:textId="77777777" w:rsidR="00463DE8" w:rsidRDefault="00463DE8" w:rsidP="00463DE8">
      <w:pPr>
        <w:jc w:val="both"/>
      </w:pPr>
    </w:p>
    <w:p w14:paraId="0A8380F2" w14:textId="77777777" w:rsidR="00463DE8" w:rsidRDefault="00463DE8" w:rsidP="00463DE8">
      <w:pPr>
        <w:jc w:val="both"/>
      </w:pPr>
    </w:p>
    <w:p w14:paraId="71F679DC" w14:textId="77777777" w:rsidR="00CF6D5C" w:rsidRDefault="00CF6D5C" w:rsidP="00463DE8">
      <w:pPr>
        <w:pStyle w:val="Prrafodelista"/>
        <w:ind w:left="1004"/>
      </w:pPr>
      <w:r>
        <w:br w:type="page"/>
      </w:r>
    </w:p>
    <w:p w14:paraId="17ADE4BC" w14:textId="77777777" w:rsidR="00463DE8" w:rsidRDefault="00463DE8" w:rsidP="00463DE8">
      <w:pPr>
        <w:pStyle w:val="Prrafodelista"/>
        <w:ind w:left="1004"/>
      </w:pPr>
    </w:p>
    <w:p w14:paraId="052CC4DC" w14:textId="77777777" w:rsidR="00E35DEC" w:rsidRPr="00B54406" w:rsidRDefault="00E35DEC">
      <w:pPr>
        <w:rPr>
          <w:b/>
          <w:sz w:val="24"/>
          <w:szCs w:val="24"/>
        </w:rPr>
      </w:pPr>
      <w:r w:rsidRPr="00B54406">
        <w:rPr>
          <w:b/>
          <w:sz w:val="24"/>
          <w:szCs w:val="24"/>
        </w:rPr>
        <w:t>Anexo 1. Participantes de la 4° Reunión CoP LAC -5 de mayo 2020</w:t>
      </w:r>
    </w:p>
    <w:tbl>
      <w:tblPr>
        <w:tblStyle w:val="Tablaconcuadrcula"/>
        <w:tblW w:w="0" w:type="auto"/>
        <w:tblLook w:val="04A0" w:firstRow="1" w:lastRow="0" w:firstColumn="1" w:lastColumn="0" w:noHBand="0" w:noVBand="1"/>
      </w:tblPr>
      <w:tblGrid>
        <w:gridCol w:w="3510"/>
        <w:gridCol w:w="5468"/>
      </w:tblGrid>
      <w:tr w:rsidR="00CF6D5C" w:rsidRPr="00B54406" w14:paraId="29278D7B" w14:textId="77777777" w:rsidTr="004F5C71">
        <w:tc>
          <w:tcPr>
            <w:tcW w:w="8978" w:type="dxa"/>
            <w:gridSpan w:val="2"/>
            <w:shd w:val="clear" w:color="auto" w:fill="D6E3BC" w:themeFill="accent3" w:themeFillTint="66"/>
          </w:tcPr>
          <w:p w14:paraId="2188E71E" w14:textId="77777777" w:rsidR="00CF6D5C" w:rsidRPr="00B54406" w:rsidRDefault="00CF6D5C" w:rsidP="004F5C71">
            <w:pPr>
              <w:jc w:val="center"/>
              <w:rPr>
                <w:b/>
                <w:sz w:val="24"/>
                <w:szCs w:val="24"/>
              </w:rPr>
            </w:pPr>
            <w:r w:rsidRPr="00B54406">
              <w:rPr>
                <w:b/>
                <w:sz w:val="24"/>
                <w:szCs w:val="24"/>
              </w:rPr>
              <w:t>4° Reunión Comunidad de Prácticas de América Latina</w:t>
            </w:r>
          </w:p>
          <w:p w14:paraId="1C173069" w14:textId="77777777" w:rsidR="00CF6D5C" w:rsidRPr="00B54406" w:rsidRDefault="00CF6D5C" w:rsidP="004F5C71">
            <w:pPr>
              <w:jc w:val="center"/>
              <w:rPr>
                <w:b/>
                <w:sz w:val="24"/>
                <w:szCs w:val="24"/>
              </w:rPr>
            </w:pPr>
            <w:r w:rsidRPr="00B54406">
              <w:rPr>
                <w:b/>
                <w:sz w:val="24"/>
                <w:szCs w:val="24"/>
              </w:rPr>
              <w:t>Proyecto ACT On Gender</w:t>
            </w:r>
          </w:p>
          <w:p w14:paraId="40A8DCB3" w14:textId="77777777" w:rsidR="00CF6D5C" w:rsidRPr="00B54406" w:rsidRDefault="00CF6D5C" w:rsidP="004F5C71">
            <w:pPr>
              <w:rPr>
                <w:b/>
                <w:color w:val="000000" w:themeColor="text1"/>
                <w:sz w:val="24"/>
                <w:szCs w:val="24"/>
              </w:rPr>
            </w:pPr>
          </w:p>
        </w:tc>
      </w:tr>
      <w:tr w:rsidR="00CF6D5C" w:rsidRPr="00B54406" w14:paraId="136C6DBA" w14:textId="77777777" w:rsidTr="004F5C71">
        <w:tc>
          <w:tcPr>
            <w:tcW w:w="3510" w:type="dxa"/>
            <w:shd w:val="clear" w:color="auto" w:fill="EAF1DD" w:themeFill="accent3" w:themeFillTint="33"/>
          </w:tcPr>
          <w:p w14:paraId="6D6B61FA" w14:textId="77777777" w:rsidR="00CF6D5C" w:rsidRPr="00B54406" w:rsidRDefault="00CF6D5C" w:rsidP="004F5C71">
            <w:pPr>
              <w:rPr>
                <w:b/>
                <w:sz w:val="24"/>
                <w:szCs w:val="24"/>
              </w:rPr>
            </w:pPr>
            <w:r w:rsidRPr="00B54406">
              <w:rPr>
                <w:b/>
                <w:sz w:val="24"/>
                <w:szCs w:val="24"/>
              </w:rPr>
              <w:t>Participantes</w:t>
            </w:r>
          </w:p>
        </w:tc>
        <w:tc>
          <w:tcPr>
            <w:tcW w:w="5468" w:type="dxa"/>
            <w:shd w:val="clear" w:color="auto" w:fill="EAF1DD" w:themeFill="accent3" w:themeFillTint="33"/>
          </w:tcPr>
          <w:p w14:paraId="4B9A99CC" w14:textId="77777777" w:rsidR="00CF6D5C" w:rsidRPr="00B54406" w:rsidRDefault="00CF6D5C" w:rsidP="004F5C71">
            <w:pPr>
              <w:rPr>
                <w:b/>
                <w:color w:val="000000" w:themeColor="text1"/>
                <w:sz w:val="24"/>
                <w:szCs w:val="24"/>
              </w:rPr>
            </w:pPr>
            <w:r w:rsidRPr="00B54406">
              <w:rPr>
                <w:b/>
                <w:color w:val="000000" w:themeColor="text1"/>
                <w:sz w:val="24"/>
                <w:szCs w:val="24"/>
              </w:rPr>
              <w:t>Instituciones académicas</w:t>
            </w:r>
          </w:p>
          <w:p w14:paraId="050B0932" w14:textId="77777777" w:rsidR="00CF6D5C" w:rsidRPr="00B54406" w:rsidRDefault="00CF6D5C" w:rsidP="004F5C71">
            <w:pPr>
              <w:rPr>
                <w:b/>
                <w:color w:val="000000" w:themeColor="text1"/>
                <w:sz w:val="24"/>
                <w:szCs w:val="24"/>
              </w:rPr>
            </w:pPr>
          </w:p>
        </w:tc>
      </w:tr>
      <w:tr w:rsidR="00CF6D5C" w:rsidRPr="00B54406" w14:paraId="115909AE" w14:textId="77777777" w:rsidTr="004F5C71">
        <w:tc>
          <w:tcPr>
            <w:tcW w:w="3510" w:type="dxa"/>
            <w:vAlign w:val="center"/>
          </w:tcPr>
          <w:p w14:paraId="41BA32A4" w14:textId="77777777" w:rsidR="00CF6D5C" w:rsidRPr="00824022" w:rsidRDefault="00CF6D5C" w:rsidP="004F5C71">
            <w:pPr>
              <w:rPr>
                <w:rFonts w:ascii="Calibri" w:eastAsia="Times New Roman" w:hAnsi="Calibri" w:cs="Calibri"/>
                <w:color w:val="000000"/>
                <w:sz w:val="24"/>
                <w:szCs w:val="24"/>
                <w:lang w:eastAsia="es-AR"/>
              </w:rPr>
            </w:pPr>
            <w:r w:rsidRPr="00824022">
              <w:rPr>
                <w:rFonts w:ascii="Calibri" w:eastAsia="Times New Roman" w:hAnsi="Calibri" w:cs="Calibri"/>
                <w:color w:val="000000"/>
                <w:sz w:val="24"/>
                <w:szCs w:val="24"/>
                <w:lang w:eastAsia="es-AR"/>
              </w:rPr>
              <w:t>Ana Rosa Ruiz</w:t>
            </w:r>
          </w:p>
        </w:tc>
        <w:tc>
          <w:tcPr>
            <w:tcW w:w="5468" w:type="dxa"/>
            <w:vAlign w:val="center"/>
          </w:tcPr>
          <w:p w14:paraId="1F358EA7" w14:textId="77777777" w:rsidR="00CF6D5C" w:rsidRPr="00B54406" w:rsidRDefault="00CF6D5C" w:rsidP="004F5C71">
            <w:pPr>
              <w:rPr>
                <w:rFonts w:ascii="Calibri" w:hAnsi="Calibri" w:cs="Calibri"/>
                <w:bCs/>
                <w:color w:val="000000" w:themeColor="text1"/>
                <w:sz w:val="24"/>
                <w:szCs w:val="24"/>
              </w:rPr>
            </w:pPr>
            <w:r w:rsidRPr="00B54406">
              <w:rPr>
                <w:rFonts w:ascii="Calibri" w:hAnsi="Calibri" w:cs="Calibri"/>
                <w:bCs/>
                <w:color w:val="000000" w:themeColor="text1"/>
                <w:sz w:val="24"/>
                <w:szCs w:val="24"/>
              </w:rPr>
              <w:t>Instituto Tecnológico de Costa Rica</w:t>
            </w:r>
          </w:p>
          <w:p w14:paraId="64AE64AC" w14:textId="77777777" w:rsidR="00CF6D5C" w:rsidRPr="00B54406" w:rsidRDefault="00CF6D5C" w:rsidP="004F5C71">
            <w:pPr>
              <w:rPr>
                <w:rFonts w:ascii="Calibri" w:hAnsi="Calibri" w:cs="Calibri"/>
                <w:bCs/>
                <w:color w:val="000000" w:themeColor="text1"/>
                <w:sz w:val="24"/>
                <w:szCs w:val="24"/>
              </w:rPr>
            </w:pPr>
          </w:p>
        </w:tc>
      </w:tr>
      <w:tr w:rsidR="00CF6D5C" w:rsidRPr="00B54406" w14:paraId="7130EF9F" w14:textId="77777777" w:rsidTr="004F5C71">
        <w:trPr>
          <w:trHeight w:val="294"/>
        </w:trPr>
        <w:tc>
          <w:tcPr>
            <w:tcW w:w="3510" w:type="dxa"/>
            <w:vAlign w:val="center"/>
          </w:tcPr>
          <w:p w14:paraId="1FD520F8" w14:textId="77777777" w:rsidR="00CF6D5C" w:rsidRPr="00824022" w:rsidRDefault="00CF6D5C" w:rsidP="004F5C71">
            <w:pPr>
              <w:rPr>
                <w:rFonts w:ascii="Calibri" w:eastAsia="Times New Roman" w:hAnsi="Calibri" w:cs="Calibri"/>
                <w:color w:val="000000"/>
                <w:sz w:val="24"/>
                <w:szCs w:val="24"/>
                <w:lang w:eastAsia="es-AR"/>
              </w:rPr>
            </w:pPr>
            <w:r w:rsidRPr="00824022">
              <w:rPr>
                <w:rFonts w:ascii="Calibri" w:eastAsia="Times New Roman" w:hAnsi="Calibri" w:cs="Calibri"/>
                <w:color w:val="000000"/>
                <w:sz w:val="24"/>
                <w:szCs w:val="24"/>
                <w:lang w:eastAsia="es-AR"/>
              </w:rPr>
              <w:t xml:space="preserve"> Aran</w:t>
            </w:r>
            <w:r w:rsidR="009C4618">
              <w:rPr>
                <w:rFonts w:ascii="Calibri" w:eastAsia="Times New Roman" w:hAnsi="Calibri" w:cs="Calibri"/>
                <w:color w:val="000000"/>
                <w:sz w:val="24"/>
                <w:szCs w:val="24"/>
                <w:lang w:eastAsia="es-AR"/>
              </w:rPr>
              <w:t>t</w:t>
            </w:r>
            <w:r w:rsidRPr="00824022">
              <w:rPr>
                <w:rFonts w:ascii="Calibri" w:eastAsia="Times New Roman" w:hAnsi="Calibri" w:cs="Calibri"/>
                <w:color w:val="000000"/>
                <w:sz w:val="24"/>
                <w:szCs w:val="24"/>
                <w:lang w:eastAsia="es-AR"/>
              </w:rPr>
              <w:t>xa Pizarro</w:t>
            </w:r>
          </w:p>
        </w:tc>
        <w:tc>
          <w:tcPr>
            <w:tcW w:w="5468" w:type="dxa"/>
            <w:vAlign w:val="center"/>
          </w:tcPr>
          <w:p w14:paraId="4E5E8BE1" w14:textId="77777777" w:rsidR="00CF6D5C" w:rsidRPr="00B54406" w:rsidRDefault="00CF6D5C" w:rsidP="004F5C71">
            <w:pPr>
              <w:rPr>
                <w:rFonts w:cstheme="minorHAnsi"/>
                <w:color w:val="000000" w:themeColor="text1"/>
                <w:sz w:val="24"/>
                <w:szCs w:val="24"/>
              </w:rPr>
            </w:pPr>
            <w:r w:rsidRPr="00B54406">
              <w:rPr>
                <w:rFonts w:cstheme="minorHAnsi"/>
                <w:color w:val="000000" w:themeColor="text1"/>
                <w:sz w:val="24"/>
                <w:szCs w:val="24"/>
              </w:rPr>
              <w:t>Pontificia Universidad Católica del Perú</w:t>
            </w:r>
          </w:p>
          <w:p w14:paraId="1C292303" w14:textId="77777777" w:rsidR="00CF6D5C" w:rsidRPr="00B54406" w:rsidRDefault="00CF6D5C" w:rsidP="004F5C71">
            <w:pPr>
              <w:rPr>
                <w:rFonts w:cstheme="minorHAnsi"/>
                <w:color w:val="000000" w:themeColor="text1"/>
                <w:sz w:val="24"/>
                <w:szCs w:val="24"/>
              </w:rPr>
            </w:pPr>
          </w:p>
        </w:tc>
      </w:tr>
      <w:tr w:rsidR="00CF6D5C" w:rsidRPr="00B54406" w14:paraId="3E98383F" w14:textId="77777777" w:rsidTr="004F5C71">
        <w:tc>
          <w:tcPr>
            <w:tcW w:w="3510" w:type="dxa"/>
          </w:tcPr>
          <w:p w14:paraId="7D65962D" w14:textId="77777777" w:rsidR="00CF6D5C" w:rsidRPr="00B54406" w:rsidRDefault="00A22E92" w:rsidP="004F5C71">
            <w:pPr>
              <w:rPr>
                <w:sz w:val="24"/>
                <w:szCs w:val="24"/>
              </w:rPr>
            </w:pPr>
            <w:r w:rsidRPr="00B54406">
              <w:rPr>
                <w:sz w:val="24"/>
                <w:szCs w:val="24"/>
              </w:rPr>
              <w:t>Azul</w:t>
            </w:r>
            <w:r w:rsidR="00CF6D5C" w:rsidRPr="00B54406">
              <w:rPr>
                <w:sz w:val="24"/>
                <w:szCs w:val="24"/>
              </w:rPr>
              <w:t xml:space="preserve"> Hermida</w:t>
            </w:r>
          </w:p>
        </w:tc>
        <w:tc>
          <w:tcPr>
            <w:tcW w:w="5468" w:type="dxa"/>
          </w:tcPr>
          <w:p w14:paraId="3D3F4072" w14:textId="77777777" w:rsidR="00CF6D5C" w:rsidRPr="00B54406" w:rsidRDefault="00CF6D5C" w:rsidP="004F5C71">
            <w:pPr>
              <w:rPr>
                <w:color w:val="000000" w:themeColor="text1"/>
                <w:sz w:val="24"/>
                <w:szCs w:val="24"/>
              </w:rPr>
            </w:pPr>
            <w:r w:rsidRPr="00B54406">
              <w:rPr>
                <w:rFonts w:ascii="Calibri" w:hAnsi="Calibri" w:cs="Calibri"/>
                <w:bCs/>
                <w:color w:val="000000" w:themeColor="text1"/>
                <w:sz w:val="24"/>
                <w:szCs w:val="24"/>
              </w:rPr>
              <w:t>CONICET - Observatorio de Violencia Laboral y de Genero - Argentina</w:t>
            </w:r>
          </w:p>
        </w:tc>
      </w:tr>
      <w:tr w:rsidR="00CF6D5C" w:rsidRPr="00B54406" w14:paraId="319DDDEA" w14:textId="77777777" w:rsidTr="004F5C71">
        <w:tc>
          <w:tcPr>
            <w:tcW w:w="3510" w:type="dxa"/>
          </w:tcPr>
          <w:p w14:paraId="70B292C3" w14:textId="77777777" w:rsidR="00CF6D5C" w:rsidRPr="00B54406" w:rsidRDefault="00CF6D5C" w:rsidP="004F5C71">
            <w:pPr>
              <w:rPr>
                <w:sz w:val="24"/>
                <w:szCs w:val="24"/>
              </w:rPr>
            </w:pPr>
            <w:r w:rsidRPr="00B54406">
              <w:rPr>
                <w:sz w:val="24"/>
                <w:szCs w:val="24"/>
              </w:rPr>
              <w:t>Carmen Andrade</w:t>
            </w:r>
          </w:p>
        </w:tc>
        <w:tc>
          <w:tcPr>
            <w:tcW w:w="5468" w:type="dxa"/>
          </w:tcPr>
          <w:p w14:paraId="0DB546CB" w14:textId="77777777" w:rsidR="00CF6D5C" w:rsidRPr="00B54406" w:rsidRDefault="00CF6D5C" w:rsidP="004F5C71">
            <w:pPr>
              <w:rPr>
                <w:rFonts w:ascii="Calibri" w:hAnsi="Calibri" w:cs="Calibri"/>
                <w:bCs/>
                <w:color w:val="000000" w:themeColor="text1"/>
                <w:sz w:val="24"/>
                <w:szCs w:val="24"/>
              </w:rPr>
            </w:pPr>
            <w:r w:rsidRPr="00B54406">
              <w:rPr>
                <w:rFonts w:ascii="Calibri" w:hAnsi="Calibri" w:cs="Calibri"/>
                <w:bCs/>
                <w:color w:val="000000" w:themeColor="text1"/>
                <w:sz w:val="24"/>
                <w:szCs w:val="24"/>
              </w:rPr>
              <w:t>Universidad de Chile</w:t>
            </w:r>
          </w:p>
          <w:p w14:paraId="7E698846" w14:textId="77777777" w:rsidR="00CF6D5C" w:rsidRPr="00B54406" w:rsidRDefault="00CF6D5C" w:rsidP="004F5C71">
            <w:pPr>
              <w:rPr>
                <w:color w:val="000000" w:themeColor="text1"/>
                <w:sz w:val="24"/>
                <w:szCs w:val="24"/>
              </w:rPr>
            </w:pPr>
          </w:p>
        </w:tc>
      </w:tr>
      <w:tr w:rsidR="00CF6D5C" w:rsidRPr="00B54406" w14:paraId="342A4F06" w14:textId="77777777" w:rsidTr="004F5C71">
        <w:tc>
          <w:tcPr>
            <w:tcW w:w="3510" w:type="dxa"/>
          </w:tcPr>
          <w:p w14:paraId="105736D9" w14:textId="77777777" w:rsidR="00CF6D5C" w:rsidRPr="00B54406" w:rsidRDefault="00CF6D5C" w:rsidP="004F5C71">
            <w:pPr>
              <w:rPr>
                <w:sz w:val="24"/>
                <w:szCs w:val="24"/>
              </w:rPr>
            </w:pPr>
            <w:r w:rsidRPr="00B54406">
              <w:rPr>
                <w:sz w:val="24"/>
                <w:szCs w:val="24"/>
              </w:rPr>
              <w:t>Connie Cárdenas</w:t>
            </w:r>
          </w:p>
        </w:tc>
        <w:tc>
          <w:tcPr>
            <w:tcW w:w="5468" w:type="dxa"/>
          </w:tcPr>
          <w:p w14:paraId="7CDFD854" w14:textId="77777777" w:rsidR="00CF6D5C" w:rsidRPr="00B54406" w:rsidRDefault="00CF6D5C" w:rsidP="004F5C71">
            <w:pPr>
              <w:rPr>
                <w:rFonts w:ascii="Calibri" w:hAnsi="Calibri" w:cs="Calibri"/>
                <w:bCs/>
                <w:color w:val="000000" w:themeColor="text1"/>
                <w:sz w:val="24"/>
                <w:szCs w:val="24"/>
              </w:rPr>
            </w:pPr>
            <w:r w:rsidRPr="00B54406">
              <w:rPr>
                <w:rFonts w:ascii="Calibri" w:hAnsi="Calibri" w:cs="Calibri"/>
                <w:bCs/>
                <w:color w:val="000000" w:themeColor="text1"/>
                <w:sz w:val="24"/>
                <w:szCs w:val="24"/>
              </w:rPr>
              <w:t>Universidad de los Andes- Colombia</w:t>
            </w:r>
          </w:p>
          <w:p w14:paraId="327B02E1" w14:textId="77777777" w:rsidR="00CF6D5C" w:rsidRPr="00B54406" w:rsidRDefault="00CF6D5C" w:rsidP="004F5C71">
            <w:pPr>
              <w:rPr>
                <w:color w:val="000000" w:themeColor="text1"/>
                <w:sz w:val="24"/>
                <w:szCs w:val="24"/>
              </w:rPr>
            </w:pPr>
          </w:p>
        </w:tc>
      </w:tr>
      <w:tr w:rsidR="00CF6D5C" w:rsidRPr="00B54406" w14:paraId="08AB4181" w14:textId="77777777" w:rsidTr="004F5C71">
        <w:tc>
          <w:tcPr>
            <w:tcW w:w="3510" w:type="dxa"/>
          </w:tcPr>
          <w:p w14:paraId="5626787D" w14:textId="77777777" w:rsidR="00CF6D5C" w:rsidRPr="00B54406" w:rsidRDefault="00CF6D5C" w:rsidP="004F5C71">
            <w:pPr>
              <w:rPr>
                <w:sz w:val="24"/>
                <w:szCs w:val="24"/>
              </w:rPr>
            </w:pPr>
            <w:r w:rsidRPr="00B54406">
              <w:rPr>
                <w:sz w:val="24"/>
                <w:szCs w:val="24"/>
              </w:rPr>
              <w:t>Florencia Rovetto- Luciano Fabbri</w:t>
            </w:r>
          </w:p>
        </w:tc>
        <w:tc>
          <w:tcPr>
            <w:tcW w:w="5468" w:type="dxa"/>
          </w:tcPr>
          <w:p w14:paraId="1CE92F0D" w14:textId="77777777" w:rsidR="00CF6D5C" w:rsidRDefault="00CF6D5C" w:rsidP="004F5C71">
            <w:pPr>
              <w:rPr>
                <w:rFonts w:ascii="Calibri" w:eastAsia="Times New Roman" w:hAnsi="Calibri" w:cs="Calibri"/>
                <w:color w:val="000000" w:themeColor="text1"/>
                <w:sz w:val="24"/>
                <w:szCs w:val="24"/>
                <w:lang w:eastAsia="es-AR"/>
              </w:rPr>
            </w:pPr>
            <w:r w:rsidRPr="00B54406">
              <w:rPr>
                <w:rFonts w:ascii="Calibri" w:eastAsia="Times New Roman" w:hAnsi="Calibri" w:cs="Calibri"/>
                <w:color w:val="000000" w:themeColor="text1"/>
                <w:sz w:val="24"/>
                <w:szCs w:val="24"/>
                <w:lang w:eastAsia="es-AR"/>
              </w:rPr>
              <w:t>Universidad Nacional de Rosario- Argentina</w:t>
            </w:r>
          </w:p>
          <w:p w14:paraId="38BEBED2" w14:textId="77777777" w:rsidR="009C4618" w:rsidRPr="00B54406" w:rsidRDefault="009C4618" w:rsidP="004F5C71">
            <w:pPr>
              <w:rPr>
                <w:color w:val="000000" w:themeColor="text1"/>
                <w:sz w:val="24"/>
                <w:szCs w:val="24"/>
              </w:rPr>
            </w:pPr>
          </w:p>
        </w:tc>
      </w:tr>
      <w:tr w:rsidR="00CF6D5C" w:rsidRPr="00B54406" w14:paraId="7F8E7759" w14:textId="77777777" w:rsidTr="004F5C71">
        <w:tc>
          <w:tcPr>
            <w:tcW w:w="3510" w:type="dxa"/>
          </w:tcPr>
          <w:p w14:paraId="2CFCA2B8" w14:textId="77777777" w:rsidR="00CF6D5C" w:rsidRPr="00B54406" w:rsidRDefault="00CF6D5C" w:rsidP="004F5C71">
            <w:pPr>
              <w:rPr>
                <w:sz w:val="24"/>
                <w:szCs w:val="24"/>
              </w:rPr>
            </w:pPr>
            <w:r w:rsidRPr="00B54406">
              <w:rPr>
                <w:sz w:val="24"/>
                <w:szCs w:val="24"/>
              </w:rPr>
              <w:t>Itzel Figueroa</w:t>
            </w:r>
          </w:p>
        </w:tc>
        <w:tc>
          <w:tcPr>
            <w:tcW w:w="5468" w:type="dxa"/>
          </w:tcPr>
          <w:p w14:paraId="72FB30CD" w14:textId="77777777" w:rsidR="00CF6D5C" w:rsidRPr="00B54406" w:rsidRDefault="00CF6D5C" w:rsidP="004F5C71">
            <w:pPr>
              <w:rPr>
                <w:rFonts w:ascii="Calibri" w:hAnsi="Calibri" w:cs="Calibri"/>
                <w:bCs/>
                <w:color w:val="000000" w:themeColor="text1"/>
                <w:sz w:val="24"/>
                <w:szCs w:val="24"/>
              </w:rPr>
            </w:pPr>
            <w:r w:rsidRPr="00B54406">
              <w:rPr>
                <w:rFonts w:ascii="Calibri" w:hAnsi="Calibri" w:cs="Calibri"/>
                <w:bCs/>
                <w:color w:val="000000" w:themeColor="text1"/>
                <w:sz w:val="24"/>
                <w:szCs w:val="24"/>
              </w:rPr>
              <w:t>Universidad Nacional Autónoma de México</w:t>
            </w:r>
          </w:p>
          <w:p w14:paraId="298C1F03" w14:textId="77777777" w:rsidR="00CF6D5C" w:rsidRPr="00B54406" w:rsidRDefault="00CF6D5C" w:rsidP="004F5C71">
            <w:pPr>
              <w:rPr>
                <w:color w:val="000000" w:themeColor="text1"/>
                <w:sz w:val="24"/>
                <w:szCs w:val="24"/>
              </w:rPr>
            </w:pPr>
          </w:p>
        </w:tc>
      </w:tr>
      <w:tr w:rsidR="00CF6D5C" w:rsidRPr="00B54406" w14:paraId="42D974E7" w14:textId="77777777" w:rsidTr="004F5C71">
        <w:tc>
          <w:tcPr>
            <w:tcW w:w="3510" w:type="dxa"/>
          </w:tcPr>
          <w:p w14:paraId="1785998E" w14:textId="77777777" w:rsidR="00CF6D5C" w:rsidRPr="00B54406" w:rsidRDefault="00CF6D5C" w:rsidP="004F5C71">
            <w:pPr>
              <w:rPr>
                <w:sz w:val="24"/>
                <w:szCs w:val="24"/>
              </w:rPr>
            </w:pPr>
            <w:r w:rsidRPr="00B54406">
              <w:rPr>
                <w:sz w:val="24"/>
                <w:szCs w:val="24"/>
              </w:rPr>
              <w:t>Ludmila Fredes</w:t>
            </w:r>
          </w:p>
        </w:tc>
        <w:tc>
          <w:tcPr>
            <w:tcW w:w="5468" w:type="dxa"/>
          </w:tcPr>
          <w:p w14:paraId="7B6098C0" w14:textId="77777777" w:rsidR="00CF6D5C" w:rsidRPr="00B54406" w:rsidRDefault="00CF6D5C" w:rsidP="004F5C71">
            <w:pPr>
              <w:rPr>
                <w:rFonts w:ascii="Calibri" w:hAnsi="Calibri" w:cs="Calibri"/>
                <w:bCs/>
                <w:color w:val="000000" w:themeColor="text1"/>
                <w:sz w:val="24"/>
                <w:szCs w:val="24"/>
              </w:rPr>
            </w:pPr>
            <w:r w:rsidRPr="00B54406">
              <w:rPr>
                <w:rFonts w:ascii="Calibri" w:hAnsi="Calibri" w:cs="Calibri"/>
                <w:bCs/>
                <w:color w:val="000000" w:themeColor="text1"/>
                <w:sz w:val="24"/>
                <w:szCs w:val="24"/>
              </w:rPr>
              <w:t>Universidad Nacional de San Martín- Argentina</w:t>
            </w:r>
          </w:p>
          <w:p w14:paraId="43D0F87C" w14:textId="77777777" w:rsidR="00CF6D5C" w:rsidRPr="00B54406" w:rsidRDefault="00CF6D5C" w:rsidP="004F5C71">
            <w:pPr>
              <w:rPr>
                <w:rFonts w:ascii="Calibri" w:hAnsi="Calibri" w:cs="Calibri"/>
                <w:bCs/>
                <w:color w:val="000000" w:themeColor="text1"/>
                <w:sz w:val="24"/>
                <w:szCs w:val="24"/>
              </w:rPr>
            </w:pPr>
          </w:p>
        </w:tc>
      </w:tr>
      <w:tr w:rsidR="00CF6D5C" w:rsidRPr="00B54406" w14:paraId="1846DA77" w14:textId="77777777" w:rsidTr="004F5C71">
        <w:tc>
          <w:tcPr>
            <w:tcW w:w="3510" w:type="dxa"/>
          </w:tcPr>
          <w:p w14:paraId="2B66A32D" w14:textId="77777777" w:rsidR="00CF6D5C" w:rsidRPr="00B54406" w:rsidRDefault="00CF6D5C" w:rsidP="004F5C71">
            <w:pPr>
              <w:rPr>
                <w:sz w:val="24"/>
                <w:szCs w:val="24"/>
              </w:rPr>
            </w:pPr>
            <w:r w:rsidRPr="00B54406">
              <w:rPr>
                <w:sz w:val="24"/>
                <w:szCs w:val="24"/>
              </w:rPr>
              <w:t>Marcia Barbosa</w:t>
            </w:r>
          </w:p>
        </w:tc>
        <w:tc>
          <w:tcPr>
            <w:tcW w:w="5468" w:type="dxa"/>
          </w:tcPr>
          <w:p w14:paraId="1B8EC659" w14:textId="77777777" w:rsidR="00CF6D5C" w:rsidRPr="00B54406" w:rsidRDefault="00CF6D5C" w:rsidP="004F5C71">
            <w:pPr>
              <w:rPr>
                <w:rFonts w:ascii="Calibri" w:hAnsi="Calibri" w:cs="Calibri"/>
                <w:bCs/>
                <w:color w:val="000000" w:themeColor="text1"/>
                <w:sz w:val="24"/>
                <w:szCs w:val="24"/>
              </w:rPr>
            </w:pPr>
            <w:r w:rsidRPr="00B54406">
              <w:rPr>
                <w:rFonts w:ascii="Calibri" w:hAnsi="Calibri" w:cs="Calibri"/>
                <w:bCs/>
                <w:color w:val="000000" w:themeColor="text1"/>
                <w:sz w:val="24"/>
                <w:szCs w:val="24"/>
              </w:rPr>
              <w:t>Universidad Federal de Río Grande del Sur- Brasil</w:t>
            </w:r>
          </w:p>
          <w:p w14:paraId="4F5C055F" w14:textId="77777777" w:rsidR="00CF6D5C" w:rsidRPr="00B54406" w:rsidRDefault="00CF6D5C" w:rsidP="004F5C71">
            <w:pPr>
              <w:rPr>
                <w:rFonts w:ascii="Calibri" w:hAnsi="Calibri" w:cs="Calibri"/>
                <w:bCs/>
                <w:color w:val="000000" w:themeColor="text1"/>
                <w:sz w:val="24"/>
                <w:szCs w:val="24"/>
              </w:rPr>
            </w:pPr>
          </w:p>
        </w:tc>
      </w:tr>
      <w:tr w:rsidR="00CF6D5C" w:rsidRPr="00B54406" w14:paraId="0D7E9195" w14:textId="77777777" w:rsidTr="004F5C71">
        <w:tc>
          <w:tcPr>
            <w:tcW w:w="3510" w:type="dxa"/>
          </w:tcPr>
          <w:p w14:paraId="7137CF9C" w14:textId="77777777" w:rsidR="00CF6D5C" w:rsidRPr="00B54406" w:rsidRDefault="00CF6D5C" w:rsidP="004F5C71">
            <w:pPr>
              <w:rPr>
                <w:sz w:val="24"/>
                <w:szCs w:val="24"/>
              </w:rPr>
            </w:pPr>
            <w:r w:rsidRPr="00B54406">
              <w:rPr>
                <w:sz w:val="24"/>
                <w:szCs w:val="24"/>
              </w:rPr>
              <w:t>Noelia Carmona</w:t>
            </w:r>
          </w:p>
        </w:tc>
        <w:tc>
          <w:tcPr>
            <w:tcW w:w="5468" w:type="dxa"/>
          </w:tcPr>
          <w:p w14:paraId="05247F59" w14:textId="77777777" w:rsidR="00CF6D5C" w:rsidRPr="00B54406" w:rsidRDefault="00CF6D5C" w:rsidP="004F5C71">
            <w:pPr>
              <w:rPr>
                <w:rFonts w:ascii="Calibri" w:hAnsi="Calibri" w:cs="Calibri"/>
                <w:bCs/>
                <w:color w:val="000000" w:themeColor="text1"/>
                <w:sz w:val="24"/>
                <w:szCs w:val="24"/>
              </w:rPr>
            </w:pPr>
            <w:r w:rsidRPr="00B54406">
              <w:rPr>
                <w:rFonts w:ascii="Calibri" w:hAnsi="Calibri" w:cs="Calibri"/>
                <w:bCs/>
                <w:color w:val="000000" w:themeColor="text1"/>
                <w:sz w:val="24"/>
                <w:szCs w:val="24"/>
              </w:rPr>
              <w:t>Universidad Nacional de Río Negro- Argentina</w:t>
            </w:r>
          </w:p>
          <w:p w14:paraId="64362D8E" w14:textId="77777777" w:rsidR="00CF6D5C" w:rsidRPr="00B54406" w:rsidRDefault="00CF6D5C" w:rsidP="004F5C71">
            <w:pPr>
              <w:rPr>
                <w:rFonts w:ascii="Calibri" w:hAnsi="Calibri" w:cs="Calibri"/>
                <w:bCs/>
                <w:color w:val="000000" w:themeColor="text1"/>
                <w:sz w:val="24"/>
                <w:szCs w:val="24"/>
              </w:rPr>
            </w:pPr>
          </w:p>
        </w:tc>
      </w:tr>
      <w:tr w:rsidR="00CF6D5C" w:rsidRPr="00B54406" w14:paraId="441C11B5" w14:textId="77777777" w:rsidTr="004F5C71">
        <w:tc>
          <w:tcPr>
            <w:tcW w:w="3510" w:type="dxa"/>
          </w:tcPr>
          <w:p w14:paraId="4BA3B14F" w14:textId="77777777" w:rsidR="00CF6D5C" w:rsidRPr="00B54406" w:rsidRDefault="00CF6D5C" w:rsidP="004F5C71">
            <w:pPr>
              <w:rPr>
                <w:sz w:val="24"/>
                <w:szCs w:val="24"/>
              </w:rPr>
            </w:pPr>
            <w:r w:rsidRPr="00B54406">
              <w:rPr>
                <w:sz w:val="24"/>
                <w:szCs w:val="24"/>
              </w:rPr>
              <w:t>Patricia Sepúlveda</w:t>
            </w:r>
          </w:p>
        </w:tc>
        <w:tc>
          <w:tcPr>
            <w:tcW w:w="5468" w:type="dxa"/>
          </w:tcPr>
          <w:p w14:paraId="61D5F5AB" w14:textId="77777777" w:rsidR="00CF6D5C" w:rsidRPr="00B54406" w:rsidRDefault="00CF6D5C" w:rsidP="004F5C71">
            <w:pPr>
              <w:rPr>
                <w:rFonts w:ascii="Calibri" w:eastAsia="Times New Roman" w:hAnsi="Calibri" w:cs="Calibri"/>
                <w:color w:val="000000" w:themeColor="text1"/>
                <w:sz w:val="24"/>
                <w:szCs w:val="24"/>
                <w:lang w:eastAsia="es-AR"/>
              </w:rPr>
            </w:pPr>
            <w:r w:rsidRPr="00B54406">
              <w:rPr>
                <w:rFonts w:ascii="Calibri" w:eastAsia="Times New Roman" w:hAnsi="Calibri" w:cs="Calibri"/>
                <w:color w:val="000000" w:themeColor="text1"/>
                <w:sz w:val="24"/>
                <w:szCs w:val="24"/>
                <w:lang w:eastAsia="es-AR"/>
              </w:rPr>
              <w:t>Universidad Nacional de Quilmes- Argentina</w:t>
            </w:r>
          </w:p>
          <w:p w14:paraId="683E9662" w14:textId="77777777" w:rsidR="00CF6D5C" w:rsidRPr="00B54406" w:rsidRDefault="00CF6D5C" w:rsidP="004F5C71">
            <w:pPr>
              <w:rPr>
                <w:rFonts w:ascii="Calibri" w:hAnsi="Calibri" w:cs="Calibri"/>
                <w:bCs/>
                <w:color w:val="000000" w:themeColor="text1"/>
                <w:sz w:val="24"/>
                <w:szCs w:val="24"/>
              </w:rPr>
            </w:pPr>
          </w:p>
        </w:tc>
      </w:tr>
      <w:tr w:rsidR="00CF6D5C" w:rsidRPr="00B54406" w14:paraId="4CE81A81" w14:textId="77777777" w:rsidTr="004F5C71">
        <w:tc>
          <w:tcPr>
            <w:tcW w:w="3510" w:type="dxa"/>
          </w:tcPr>
          <w:p w14:paraId="03E01A02" w14:textId="77777777" w:rsidR="00CF6D5C" w:rsidRPr="00B54406" w:rsidRDefault="00CF6D5C" w:rsidP="004F5C71">
            <w:pPr>
              <w:rPr>
                <w:sz w:val="24"/>
                <w:szCs w:val="24"/>
              </w:rPr>
            </w:pPr>
            <w:r w:rsidRPr="00B54406">
              <w:rPr>
                <w:sz w:val="24"/>
                <w:szCs w:val="24"/>
              </w:rPr>
              <w:t>Valeria Thus</w:t>
            </w:r>
          </w:p>
        </w:tc>
        <w:tc>
          <w:tcPr>
            <w:tcW w:w="5468" w:type="dxa"/>
          </w:tcPr>
          <w:p w14:paraId="47527C9E" w14:textId="77777777" w:rsidR="00CF6D5C" w:rsidRPr="00B54406" w:rsidRDefault="00BB436E" w:rsidP="004F5C71">
            <w:pPr>
              <w:rPr>
                <w:rFonts w:ascii="Calibri" w:hAnsi="Calibri" w:cs="Calibri"/>
                <w:bCs/>
                <w:color w:val="000000" w:themeColor="text1"/>
                <w:sz w:val="24"/>
                <w:szCs w:val="24"/>
              </w:rPr>
            </w:pPr>
            <w:r w:rsidRPr="00B54406">
              <w:rPr>
                <w:rFonts w:ascii="Calibri" w:hAnsi="Calibri" w:cs="Calibri"/>
                <w:bCs/>
                <w:color w:val="000000" w:themeColor="text1"/>
                <w:sz w:val="24"/>
                <w:szCs w:val="24"/>
              </w:rPr>
              <w:t xml:space="preserve">Universidad de Buenos Aires </w:t>
            </w:r>
            <w:r>
              <w:rPr>
                <w:rFonts w:ascii="Calibri" w:hAnsi="Calibri" w:cs="Calibri"/>
                <w:bCs/>
                <w:color w:val="000000" w:themeColor="text1"/>
                <w:sz w:val="24"/>
                <w:szCs w:val="24"/>
              </w:rPr>
              <w:t>– Argentina - Rectorado</w:t>
            </w:r>
          </w:p>
          <w:p w14:paraId="42839496" w14:textId="77777777" w:rsidR="00CF6D5C" w:rsidRPr="00B54406" w:rsidRDefault="00CF6D5C" w:rsidP="004F5C71">
            <w:pPr>
              <w:rPr>
                <w:rFonts w:ascii="Calibri" w:hAnsi="Calibri" w:cs="Calibri"/>
                <w:bCs/>
                <w:color w:val="000000" w:themeColor="text1"/>
                <w:sz w:val="24"/>
                <w:szCs w:val="24"/>
              </w:rPr>
            </w:pPr>
          </w:p>
        </w:tc>
      </w:tr>
      <w:tr w:rsidR="00CF6D5C" w:rsidRPr="00B54406" w14:paraId="136C334B" w14:textId="77777777" w:rsidTr="004F5C71">
        <w:tc>
          <w:tcPr>
            <w:tcW w:w="3510" w:type="dxa"/>
          </w:tcPr>
          <w:p w14:paraId="7F4DA2CC" w14:textId="77777777" w:rsidR="00CF6D5C" w:rsidRPr="00B54406" w:rsidRDefault="00CF6D5C" w:rsidP="004F5C71">
            <w:pPr>
              <w:rPr>
                <w:sz w:val="24"/>
                <w:szCs w:val="24"/>
              </w:rPr>
            </w:pPr>
            <w:r w:rsidRPr="00B54406">
              <w:rPr>
                <w:sz w:val="24"/>
                <w:szCs w:val="24"/>
              </w:rPr>
              <w:t>Victoria Tignino</w:t>
            </w:r>
          </w:p>
        </w:tc>
        <w:tc>
          <w:tcPr>
            <w:tcW w:w="5468" w:type="dxa"/>
          </w:tcPr>
          <w:p w14:paraId="606B6771" w14:textId="77777777" w:rsidR="00CF6D5C" w:rsidRPr="00B54406" w:rsidRDefault="00CF6D5C" w:rsidP="004F5C71">
            <w:pPr>
              <w:rPr>
                <w:rFonts w:ascii="Calibri" w:hAnsi="Calibri" w:cs="Calibri"/>
                <w:bCs/>
                <w:color w:val="000000" w:themeColor="text1"/>
                <w:sz w:val="24"/>
                <w:szCs w:val="24"/>
              </w:rPr>
            </w:pPr>
            <w:r w:rsidRPr="00B54406">
              <w:rPr>
                <w:rFonts w:ascii="Calibri" w:hAnsi="Calibri" w:cs="Calibri"/>
                <w:bCs/>
                <w:color w:val="000000" w:themeColor="text1"/>
                <w:sz w:val="24"/>
                <w:szCs w:val="24"/>
              </w:rPr>
              <w:t>CONICET / MINCYT-  Programa Nacional de Igualdad de Géneros en CTI- Ciencia, Tecnología e Innovación- Argentina</w:t>
            </w:r>
          </w:p>
        </w:tc>
      </w:tr>
      <w:tr w:rsidR="00CF6D5C" w:rsidRPr="00B54406" w14:paraId="31014FC4" w14:textId="77777777" w:rsidTr="004F5C71">
        <w:tc>
          <w:tcPr>
            <w:tcW w:w="8978" w:type="dxa"/>
            <w:gridSpan w:val="2"/>
          </w:tcPr>
          <w:p w14:paraId="38F88489" w14:textId="77777777" w:rsidR="00CF6D5C" w:rsidRPr="00B54406" w:rsidRDefault="00CF6D5C" w:rsidP="004F5C71">
            <w:pPr>
              <w:rPr>
                <w:rFonts w:ascii="Calibri" w:hAnsi="Calibri" w:cs="Calibri"/>
                <w:b/>
                <w:bCs/>
                <w:sz w:val="24"/>
                <w:szCs w:val="24"/>
              </w:rPr>
            </w:pPr>
            <w:r w:rsidRPr="00B54406">
              <w:rPr>
                <w:b/>
                <w:sz w:val="24"/>
                <w:szCs w:val="24"/>
              </w:rPr>
              <w:t>FLACSO ARGENTINA- Coordinación CoP</w:t>
            </w:r>
          </w:p>
        </w:tc>
      </w:tr>
      <w:tr w:rsidR="00A22E92" w:rsidRPr="00B54406" w14:paraId="346957D5" w14:textId="77777777" w:rsidTr="00A22E92">
        <w:trPr>
          <w:trHeight w:val="899"/>
        </w:trPr>
        <w:tc>
          <w:tcPr>
            <w:tcW w:w="8978" w:type="dxa"/>
            <w:gridSpan w:val="2"/>
          </w:tcPr>
          <w:p w14:paraId="1A5DDD6F" w14:textId="77777777" w:rsidR="00A22E92" w:rsidRDefault="00A22E92" w:rsidP="004F5C71">
            <w:pPr>
              <w:rPr>
                <w:sz w:val="24"/>
                <w:szCs w:val="24"/>
              </w:rPr>
            </w:pPr>
          </w:p>
          <w:p w14:paraId="1E04ACE4" w14:textId="77777777" w:rsidR="00A22E92" w:rsidRPr="00B54406" w:rsidRDefault="00A22E92" w:rsidP="004F5C71">
            <w:pPr>
              <w:rPr>
                <w:rFonts w:ascii="Calibri" w:hAnsi="Calibri" w:cs="Calibri"/>
                <w:b/>
                <w:bCs/>
                <w:sz w:val="24"/>
                <w:szCs w:val="24"/>
              </w:rPr>
            </w:pPr>
            <w:r w:rsidRPr="00B54406">
              <w:rPr>
                <w:sz w:val="24"/>
                <w:szCs w:val="24"/>
              </w:rPr>
              <w:t xml:space="preserve">Gloria </w:t>
            </w:r>
            <w:proofErr w:type="spellStart"/>
            <w:r w:rsidRPr="00B54406">
              <w:rPr>
                <w:sz w:val="24"/>
                <w:szCs w:val="24"/>
              </w:rPr>
              <w:t>Bonder</w:t>
            </w:r>
            <w:proofErr w:type="spellEnd"/>
            <w:r>
              <w:rPr>
                <w:rFonts w:ascii="Calibri" w:hAnsi="Calibri" w:cs="Calibri"/>
                <w:b/>
                <w:bCs/>
                <w:sz w:val="24"/>
                <w:szCs w:val="24"/>
              </w:rPr>
              <w:t xml:space="preserve"> / </w:t>
            </w:r>
            <w:r w:rsidRPr="00B54406">
              <w:rPr>
                <w:sz w:val="24"/>
                <w:szCs w:val="24"/>
              </w:rPr>
              <w:t>María Tamargo</w:t>
            </w:r>
            <w:r>
              <w:rPr>
                <w:rFonts w:ascii="Calibri" w:hAnsi="Calibri" w:cs="Calibri"/>
                <w:b/>
                <w:bCs/>
                <w:sz w:val="24"/>
                <w:szCs w:val="24"/>
              </w:rPr>
              <w:t xml:space="preserve"> / </w:t>
            </w:r>
            <w:r w:rsidRPr="00B54406">
              <w:rPr>
                <w:sz w:val="24"/>
                <w:szCs w:val="24"/>
              </w:rPr>
              <w:t>Blas Fernández</w:t>
            </w:r>
          </w:p>
        </w:tc>
      </w:tr>
    </w:tbl>
    <w:p w14:paraId="485B5846" w14:textId="77777777" w:rsidR="00E35DEC" w:rsidRDefault="00E35DEC"/>
    <w:p w14:paraId="735663B9" w14:textId="77777777" w:rsidR="00B54406" w:rsidRDefault="00B54406"/>
    <w:p w14:paraId="543C986E" w14:textId="77777777" w:rsidR="00E35DEC" w:rsidRPr="00B54406" w:rsidRDefault="00E35DEC">
      <w:r w:rsidRPr="00B54406">
        <w:rPr>
          <w:b/>
          <w:sz w:val="24"/>
          <w:szCs w:val="24"/>
        </w:rPr>
        <w:lastRenderedPageBreak/>
        <w:t>Anexo 2. Síntesis de actividades de la CoP LAC noviembre 2019- mayo 2020</w:t>
      </w:r>
    </w:p>
    <w:tbl>
      <w:tblPr>
        <w:tblStyle w:val="Tablaconcuadrcula"/>
        <w:tblW w:w="9322" w:type="dxa"/>
        <w:tblLook w:val="04A0" w:firstRow="1" w:lastRow="0" w:firstColumn="1" w:lastColumn="0" w:noHBand="0" w:noVBand="1"/>
      </w:tblPr>
      <w:tblGrid>
        <w:gridCol w:w="9322"/>
      </w:tblGrid>
      <w:tr w:rsidR="00E35DEC" w14:paraId="413D1E83" w14:textId="77777777" w:rsidTr="00B54406">
        <w:trPr>
          <w:trHeight w:val="8524"/>
        </w:trPr>
        <w:tc>
          <w:tcPr>
            <w:tcW w:w="9322" w:type="dxa"/>
          </w:tcPr>
          <w:p w14:paraId="33B0A747" w14:textId="77777777" w:rsidR="004F5C71" w:rsidRPr="00E35DEC" w:rsidRDefault="00E35DEC" w:rsidP="00B54406">
            <w:pPr>
              <w:spacing w:after="120" w:line="276" w:lineRule="auto"/>
              <w:rPr>
                <w:b/>
                <w:sz w:val="24"/>
                <w:szCs w:val="24"/>
              </w:rPr>
            </w:pPr>
            <w:r w:rsidRPr="00E35DEC">
              <w:rPr>
                <w:b/>
                <w:sz w:val="24"/>
                <w:szCs w:val="24"/>
              </w:rPr>
              <w:t xml:space="preserve">CoP LAC- </w:t>
            </w:r>
            <w:r w:rsidR="004F5C71" w:rsidRPr="00E35DEC">
              <w:rPr>
                <w:b/>
                <w:sz w:val="24"/>
                <w:szCs w:val="24"/>
              </w:rPr>
              <w:t>Coordina</w:t>
            </w:r>
            <w:r w:rsidRPr="00E35DEC">
              <w:rPr>
                <w:b/>
                <w:sz w:val="24"/>
                <w:szCs w:val="24"/>
              </w:rPr>
              <w:t xml:space="preserve">ción: </w:t>
            </w:r>
            <w:r w:rsidR="004F5C71" w:rsidRPr="00E35DEC">
              <w:rPr>
                <w:b/>
                <w:sz w:val="24"/>
                <w:szCs w:val="24"/>
              </w:rPr>
              <w:t>Cátedra Regional UNESCO Mujer, Ciencia y Tecnología</w:t>
            </w:r>
            <w:r w:rsidRPr="00E35DEC">
              <w:rPr>
                <w:b/>
                <w:sz w:val="24"/>
                <w:szCs w:val="24"/>
              </w:rPr>
              <w:t xml:space="preserve"> a través de </w:t>
            </w:r>
            <w:r w:rsidR="00A22E92" w:rsidRPr="00E35DEC">
              <w:rPr>
                <w:b/>
                <w:sz w:val="24"/>
                <w:szCs w:val="24"/>
              </w:rPr>
              <w:t>FLACSO.</w:t>
            </w:r>
          </w:p>
          <w:p w14:paraId="1B0E172D" w14:textId="77777777" w:rsidR="00E35DEC" w:rsidRPr="00E35DEC" w:rsidRDefault="00E35DEC" w:rsidP="00B54406">
            <w:pPr>
              <w:spacing w:after="120" w:line="276" w:lineRule="auto"/>
              <w:rPr>
                <w:sz w:val="24"/>
                <w:szCs w:val="24"/>
              </w:rPr>
            </w:pPr>
            <w:r w:rsidRPr="00E35DEC">
              <w:rPr>
                <w:sz w:val="24"/>
                <w:szCs w:val="24"/>
              </w:rPr>
              <w:t>Actividades:</w:t>
            </w:r>
          </w:p>
          <w:p w14:paraId="069BDEA9" w14:textId="77777777" w:rsidR="004F5C71" w:rsidRPr="00E35DEC" w:rsidRDefault="004F5C71" w:rsidP="00B54406">
            <w:pPr>
              <w:numPr>
                <w:ilvl w:val="0"/>
                <w:numId w:val="1"/>
              </w:numPr>
              <w:spacing w:after="120" w:line="276" w:lineRule="auto"/>
              <w:rPr>
                <w:sz w:val="24"/>
                <w:szCs w:val="24"/>
              </w:rPr>
            </w:pPr>
            <w:r w:rsidRPr="00E35DEC">
              <w:rPr>
                <w:sz w:val="24"/>
                <w:szCs w:val="24"/>
              </w:rPr>
              <w:t>Primera reunión presencial en marzo de 2019</w:t>
            </w:r>
          </w:p>
          <w:p w14:paraId="24B9AD8C" w14:textId="77777777" w:rsidR="004F5C71" w:rsidRPr="00E35DEC" w:rsidRDefault="004F5C71" w:rsidP="00B54406">
            <w:pPr>
              <w:numPr>
                <w:ilvl w:val="0"/>
                <w:numId w:val="1"/>
              </w:numPr>
              <w:spacing w:after="120" w:line="276" w:lineRule="auto"/>
              <w:rPr>
                <w:sz w:val="24"/>
                <w:szCs w:val="24"/>
              </w:rPr>
            </w:pPr>
            <w:r w:rsidRPr="00E35DEC">
              <w:rPr>
                <w:sz w:val="24"/>
                <w:szCs w:val="24"/>
              </w:rPr>
              <w:t>Informe de sistematización de la reunión presencial</w:t>
            </w:r>
          </w:p>
          <w:p w14:paraId="02439786" w14:textId="77777777" w:rsidR="004F5C71" w:rsidRPr="00E35DEC" w:rsidRDefault="004F5C71" w:rsidP="00B54406">
            <w:pPr>
              <w:numPr>
                <w:ilvl w:val="0"/>
                <w:numId w:val="1"/>
              </w:numPr>
              <w:spacing w:after="120" w:line="276" w:lineRule="auto"/>
              <w:rPr>
                <w:sz w:val="24"/>
                <w:szCs w:val="24"/>
              </w:rPr>
            </w:pPr>
            <w:r w:rsidRPr="00E35DEC">
              <w:rPr>
                <w:sz w:val="24"/>
                <w:szCs w:val="24"/>
              </w:rPr>
              <w:t>Convocatoria a la conformación de la CoP LAC</w:t>
            </w:r>
            <w:r w:rsidR="00E35DEC">
              <w:rPr>
                <w:sz w:val="24"/>
                <w:szCs w:val="24"/>
              </w:rPr>
              <w:t>: 14 instituciones académicas de Argentina, Brasil, Costa Rica, Chile, Colombia, Costa Rica, México</w:t>
            </w:r>
            <w:r w:rsidR="00B54406">
              <w:rPr>
                <w:sz w:val="24"/>
                <w:szCs w:val="24"/>
              </w:rPr>
              <w:t>.</w:t>
            </w:r>
          </w:p>
          <w:p w14:paraId="7618A3FA" w14:textId="77777777" w:rsidR="004F5C71" w:rsidRPr="00E35DEC" w:rsidRDefault="00B54406" w:rsidP="00B54406">
            <w:pPr>
              <w:numPr>
                <w:ilvl w:val="0"/>
                <w:numId w:val="1"/>
              </w:numPr>
              <w:spacing w:after="120" w:line="276" w:lineRule="auto"/>
              <w:rPr>
                <w:sz w:val="24"/>
                <w:szCs w:val="24"/>
              </w:rPr>
            </w:pPr>
            <w:r>
              <w:rPr>
                <w:sz w:val="24"/>
                <w:szCs w:val="24"/>
              </w:rPr>
              <w:t xml:space="preserve">Elaboración del </w:t>
            </w:r>
            <w:r w:rsidR="004F5C71" w:rsidRPr="00E35DEC">
              <w:rPr>
                <w:sz w:val="24"/>
                <w:szCs w:val="24"/>
              </w:rPr>
              <w:t>Plan de trabajo para la CoP LAC</w:t>
            </w:r>
          </w:p>
          <w:p w14:paraId="2A57A5C9" w14:textId="77777777" w:rsidR="004F5C71" w:rsidRPr="00E35DEC" w:rsidRDefault="004F5C71" w:rsidP="00B54406">
            <w:pPr>
              <w:numPr>
                <w:ilvl w:val="0"/>
                <w:numId w:val="1"/>
              </w:numPr>
              <w:spacing w:after="120" w:line="276" w:lineRule="auto"/>
              <w:rPr>
                <w:sz w:val="24"/>
                <w:szCs w:val="24"/>
              </w:rPr>
            </w:pPr>
            <w:r w:rsidRPr="00E35DEC">
              <w:rPr>
                <w:sz w:val="24"/>
                <w:szCs w:val="24"/>
              </w:rPr>
              <w:t>3 reuniones virtuales desarrolladas entre los meses de noviembre 2019 y febrero 2020</w:t>
            </w:r>
          </w:p>
          <w:p w14:paraId="7F7FD314" w14:textId="77777777" w:rsidR="004F5C71" w:rsidRPr="00E35DEC" w:rsidRDefault="004F5C71" w:rsidP="00B54406">
            <w:pPr>
              <w:numPr>
                <w:ilvl w:val="0"/>
                <w:numId w:val="1"/>
              </w:numPr>
              <w:spacing w:after="120" w:line="276" w:lineRule="auto"/>
              <w:rPr>
                <w:sz w:val="24"/>
                <w:szCs w:val="24"/>
              </w:rPr>
            </w:pPr>
            <w:r w:rsidRPr="00E35DEC">
              <w:rPr>
                <w:sz w:val="24"/>
                <w:szCs w:val="24"/>
              </w:rPr>
              <w:t>Análisis e intercambio sobre el instrumento de diagnóstico sobre e</w:t>
            </w:r>
            <w:r w:rsidR="00B54406">
              <w:rPr>
                <w:sz w:val="24"/>
                <w:szCs w:val="24"/>
              </w:rPr>
              <w:t>l grado de sensibilización de gé</w:t>
            </w:r>
            <w:r w:rsidRPr="00E35DEC">
              <w:rPr>
                <w:sz w:val="24"/>
                <w:szCs w:val="24"/>
              </w:rPr>
              <w:t>nero de las instituciones académicas.</w:t>
            </w:r>
          </w:p>
          <w:p w14:paraId="65D195E8" w14:textId="77777777" w:rsidR="004F5C71" w:rsidRPr="00E35DEC" w:rsidRDefault="004F5C71" w:rsidP="00B54406">
            <w:pPr>
              <w:numPr>
                <w:ilvl w:val="0"/>
                <w:numId w:val="1"/>
              </w:numPr>
              <w:spacing w:after="120" w:line="276" w:lineRule="auto"/>
              <w:rPr>
                <w:sz w:val="24"/>
                <w:szCs w:val="24"/>
              </w:rPr>
            </w:pPr>
            <w:r w:rsidRPr="00E35DEC">
              <w:rPr>
                <w:sz w:val="24"/>
                <w:szCs w:val="24"/>
              </w:rPr>
              <w:t>Aplicación del instrumento de diagnóstico en FLACSO Argentina</w:t>
            </w:r>
          </w:p>
          <w:p w14:paraId="3470D7FF" w14:textId="77777777" w:rsidR="004F5C71" w:rsidRPr="00E35DEC" w:rsidRDefault="004F5C71" w:rsidP="00B54406">
            <w:pPr>
              <w:numPr>
                <w:ilvl w:val="0"/>
                <w:numId w:val="1"/>
              </w:numPr>
              <w:spacing w:after="120" w:line="276" w:lineRule="auto"/>
              <w:rPr>
                <w:sz w:val="24"/>
                <w:szCs w:val="24"/>
              </w:rPr>
            </w:pPr>
            <w:r w:rsidRPr="00E35DEC">
              <w:rPr>
                <w:sz w:val="24"/>
                <w:szCs w:val="24"/>
              </w:rPr>
              <w:t>Análisis y discusión colaborativa de sus hallazgos.</w:t>
            </w:r>
          </w:p>
          <w:p w14:paraId="681B2EFF" w14:textId="77777777" w:rsidR="004F5C71" w:rsidRDefault="004F5C71" w:rsidP="00B54406">
            <w:pPr>
              <w:numPr>
                <w:ilvl w:val="0"/>
                <w:numId w:val="1"/>
              </w:numPr>
              <w:spacing w:after="120" w:line="276" w:lineRule="auto"/>
              <w:rPr>
                <w:b/>
                <w:sz w:val="24"/>
                <w:szCs w:val="24"/>
              </w:rPr>
            </w:pPr>
            <w:r w:rsidRPr="00E35DEC">
              <w:rPr>
                <w:sz w:val="24"/>
                <w:szCs w:val="24"/>
              </w:rPr>
              <w:t>Revisión y adecuación del instrumento de diagnóstico por parte de las integrantes de la CoP para su posterior implementación</w:t>
            </w:r>
            <w:r w:rsidRPr="00E35DEC">
              <w:rPr>
                <w:b/>
                <w:sz w:val="24"/>
                <w:szCs w:val="24"/>
              </w:rPr>
              <w:t xml:space="preserve">. </w:t>
            </w:r>
          </w:p>
          <w:p w14:paraId="75E6D2E9" w14:textId="77777777" w:rsidR="00E35DEC" w:rsidRPr="00E35DEC" w:rsidRDefault="00E35DEC" w:rsidP="00B54406">
            <w:pPr>
              <w:numPr>
                <w:ilvl w:val="0"/>
                <w:numId w:val="1"/>
              </w:numPr>
              <w:spacing w:after="120" w:line="276" w:lineRule="auto"/>
              <w:rPr>
                <w:sz w:val="24"/>
                <w:szCs w:val="24"/>
              </w:rPr>
            </w:pPr>
            <w:r w:rsidRPr="00E35DEC">
              <w:rPr>
                <w:sz w:val="24"/>
                <w:szCs w:val="24"/>
              </w:rPr>
              <w:t>Convocatoria y realización de la 4° Reunión de la CoP: 5 de mayo 2020</w:t>
            </w:r>
          </w:p>
          <w:p w14:paraId="33363286" w14:textId="77777777" w:rsidR="00E35DEC" w:rsidRDefault="00E35DEC">
            <w:pPr>
              <w:rPr>
                <w:b/>
              </w:rPr>
            </w:pPr>
          </w:p>
        </w:tc>
      </w:tr>
    </w:tbl>
    <w:p w14:paraId="60C86DA4" w14:textId="77777777" w:rsidR="00E35DEC" w:rsidRPr="00E35DEC" w:rsidRDefault="00E35DEC">
      <w:pPr>
        <w:rPr>
          <w:b/>
        </w:rPr>
      </w:pPr>
    </w:p>
    <w:sectPr w:rsidR="00E35DEC" w:rsidRPr="00E35DEC" w:rsidSect="000B618F">
      <w:headerReference w:type="default" r:id="rId10"/>
      <w:footerReference w:type="default" r:id="rId11"/>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690FC" w14:textId="77777777" w:rsidR="00537F82" w:rsidRDefault="00537F82" w:rsidP="00985578">
      <w:pPr>
        <w:spacing w:after="0" w:line="240" w:lineRule="auto"/>
      </w:pPr>
      <w:r>
        <w:separator/>
      </w:r>
    </w:p>
  </w:endnote>
  <w:endnote w:type="continuationSeparator" w:id="0">
    <w:p w14:paraId="4E126675" w14:textId="77777777" w:rsidR="00537F82" w:rsidRDefault="00537F82" w:rsidP="00985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8040751"/>
      <w:docPartObj>
        <w:docPartGallery w:val="Page Numbers (Bottom of Page)"/>
        <w:docPartUnique/>
      </w:docPartObj>
    </w:sdtPr>
    <w:sdtEndPr/>
    <w:sdtContent>
      <w:p w14:paraId="60D8ABE7" w14:textId="77777777" w:rsidR="00A22E92" w:rsidRDefault="00537F82">
        <w:pPr>
          <w:pStyle w:val="Piedepgina"/>
          <w:jc w:val="right"/>
        </w:pPr>
        <w:r>
          <w:fldChar w:fldCharType="begin"/>
        </w:r>
        <w:r>
          <w:instrText xml:space="preserve"> PAGE   \* MERGEFORMAT </w:instrText>
        </w:r>
        <w:r>
          <w:fldChar w:fldCharType="separate"/>
        </w:r>
        <w:r w:rsidR="00E37CDF">
          <w:rPr>
            <w:noProof/>
          </w:rPr>
          <w:t>2</w:t>
        </w:r>
        <w:r>
          <w:rPr>
            <w:noProof/>
          </w:rPr>
          <w:fldChar w:fldCharType="end"/>
        </w:r>
      </w:p>
    </w:sdtContent>
  </w:sdt>
  <w:p w14:paraId="7347A464" w14:textId="77777777" w:rsidR="00A22E92" w:rsidRDefault="00A22E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A2583" w14:textId="77777777" w:rsidR="00537F82" w:rsidRDefault="00537F82" w:rsidP="00985578">
      <w:pPr>
        <w:spacing w:after="0" w:line="240" w:lineRule="auto"/>
      </w:pPr>
      <w:r>
        <w:separator/>
      </w:r>
    </w:p>
  </w:footnote>
  <w:footnote w:type="continuationSeparator" w:id="0">
    <w:p w14:paraId="475C8A0A" w14:textId="77777777" w:rsidR="00537F82" w:rsidRDefault="00537F82" w:rsidP="00985578">
      <w:pPr>
        <w:spacing w:after="0" w:line="240" w:lineRule="auto"/>
      </w:pPr>
      <w:r>
        <w:continuationSeparator/>
      </w:r>
    </w:p>
  </w:footnote>
  <w:footnote w:id="1">
    <w:p w14:paraId="367A5953" w14:textId="77777777" w:rsidR="00A26BD5" w:rsidRDefault="00A26BD5" w:rsidP="00A26BD5">
      <w:pPr>
        <w:pStyle w:val="Textonotapie"/>
      </w:pPr>
      <w:r>
        <w:rPr>
          <w:rStyle w:val="Refdenotaalpie"/>
        </w:rPr>
        <w:footnoteRef/>
      </w:r>
      <w:r>
        <w:t xml:space="preserve"> En el Anexo 1 se incluye el listado de participantes.</w:t>
      </w:r>
    </w:p>
  </w:footnote>
  <w:footnote w:id="2">
    <w:p w14:paraId="0EC1A3A4" w14:textId="77777777" w:rsidR="00A22E92" w:rsidRDefault="00A22E92">
      <w:pPr>
        <w:pStyle w:val="Textonotapie"/>
      </w:pPr>
      <w:r>
        <w:rPr>
          <w:rStyle w:val="Refdenotaalpie"/>
        </w:rPr>
        <w:footnoteRef/>
      </w:r>
      <w:r>
        <w:t xml:space="preserve"> En el Anexo 2 se incluye una breve síntesis de las actividades de la </w:t>
      </w:r>
      <w:proofErr w:type="spellStart"/>
      <w:r>
        <w:t>CoP</w:t>
      </w:r>
      <w:proofErr w:type="spellEnd"/>
      <w:r>
        <w:t xml:space="preserve"> LAC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056F5" w14:textId="77777777" w:rsidR="00A22E92" w:rsidRDefault="00A22E92" w:rsidP="000B618F">
    <w:pPr>
      <w:pStyle w:val="Encabezado"/>
      <w:tabs>
        <w:tab w:val="clear" w:pos="4419"/>
        <w:tab w:val="clear" w:pos="8838"/>
        <w:tab w:val="center" w:pos="4678"/>
      </w:tabs>
      <w:ind w:left="-142" w:right="142"/>
    </w:pPr>
    <w:r w:rsidRPr="00985578">
      <w:rPr>
        <w:noProof/>
        <w:lang w:eastAsia="es-AR"/>
      </w:rPr>
      <w:drawing>
        <wp:inline distT="0" distB="0" distL="0" distR="0" wp14:anchorId="3681C24B" wp14:editId="2B078E3D">
          <wp:extent cx="1900185" cy="723481"/>
          <wp:effectExtent l="19050" t="0" r="4815" b="0"/>
          <wp:docPr id="2" name="Imagen 2"/>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1" cstate="print"/>
                  <a:srcRect/>
                  <a:stretch>
                    <a:fillRect/>
                  </a:stretch>
                </pic:blipFill>
                <pic:spPr bwMode="auto">
                  <a:xfrm>
                    <a:off x="0" y="0"/>
                    <a:ext cx="1915263" cy="729222"/>
                  </a:xfrm>
                  <a:prstGeom prst="rect">
                    <a:avLst/>
                  </a:prstGeom>
                  <a:solidFill>
                    <a:srgbClr val="FFFFFF"/>
                  </a:solidFill>
                  <a:ln w="9525">
                    <a:noFill/>
                    <a:miter lim="800000"/>
                    <a:headEnd/>
                    <a:tailEnd/>
                  </a:ln>
                </pic:spPr>
              </pic:pic>
            </a:graphicData>
          </a:graphic>
        </wp:inline>
      </w:drawing>
    </w:r>
    <w:r>
      <w:ptab w:relativeTo="margin" w:alignment="center" w:leader="none"/>
    </w:r>
    <w:r>
      <w:ptab w:relativeTo="margin" w:alignment="right" w:leader="none"/>
    </w:r>
    <w:r w:rsidRPr="000B618F">
      <w:rPr>
        <w:noProof/>
        <w:lang w:eastAsia="es-AR"/>
      </w:rPr>
      <w:drawing>
        <wp:inline distT="0" distB="0" distL="0" distR="0" wp14:anchorId="5BE88F94" wp14:editId="03D8FD4E">
          <wp:extent cx="2027675" cy="723481"/>
          <wp:effectExtent l="19050" t="0" r="0" b="0"/>
          <wp:docPr id="16" name="Imagen 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2" cstate="print"/>
                  <a:srcRect/>
                  <a:stretch>
                    <a:fillRect/>
                  </a:stretch>
                </pic:blipFill>
                <pic:spPr bwMode="auto">
                  <a:xfrm>
                    <a:off x="0" y="0"/>
                    <a:ext cx="2030075" cy="72433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A3C0E"/>
    <w:multiLevelType w:val="hybridMultilevel"/>
    <w:tmpl w:val="73F887F4"/>
    <w:lvl w:ilvl="0" w:tplc="2C0A000D">
      <w:start w:val="1"/>
      <w:numFmt w:val="bullet"/>
      <w:lvlText w:val=""/>
      <w:lvlJc w:val="left"/>
      <w:pPr>
        <w:ind w:left="1004" w:hanging="360"/>
      </w:pPr>
      <w:rPr>
        <w:rFonts w:ascii="Wingdings" w:hAnsi="Wingdings"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1" w15:restartNumberingAfterBreak="0">
    <w:nsid w:val="74BA621D"/>
    <w:multiLevelType w:val="hybridMultilevel"/>
    <w:tmpl w:val="9A286A76"/>
    <w:lvl w:ilvl="0" w:tplc="A134BE28">
      <w:start w:val="1"/>
      <w:numFmt w:val="bullet"/>
      <w:lvlText w:val=""/>
      <w:lvlJc w:val="left"/>
      <w:pPr>
        <w:tabs>
          <w:tab w:val="num" w:pos="720"/>
        </w:tabs>
        <w:ind w:left="720" w:hanging="360"/>
      </w:pPr>
      <w:rPr>
        <w:rFonts w:ascii="Wingdings" w:hAnsi="Wingdings" w:hint="default"/>
      </w:rPr>
    </w:lvl>
    <w:lvl w:ilvl="1" w:tplc="A238C59C" w:tentative="1">
      <w:start w:val="1"/>
      <w:numFmt w:val="bullet"/>
      <w:lvlText w:val=""/>
      <w:lvlJc w:val="left"/>
      <w:pPr>
        <w:tabs>
          <w:tab w:val="num" w:pos="1440"/>
        </w:tabs>
        <w:ind w:left="1440" w:hanging="360"/>
      </w:pPr>
      <w:rPr>
        <w:rFonts w:ascii="Wingdings" w:hAnsi="Wingdings" w:hint="default"/>
      </w:rPr>
    </w:lvl>
    <w:lvl w:ilvl="2" w:tplc="8CA893C0" w:tentative="1">
      <w:start w:val="1"/>
      <w:numFmt w:val="bullet"/>
      <w:lvlText w:val=""/>
      <w:lvlJc w:val="left"/>
      <w:pPr>
        <w:tabs>
          <w:tab w:val="num" w:pos="2160"/>
        </w:tabs>
        <w:ind w:left="2160" w:hanging="360"/>
      </w:pPr>
      <w:rPr>
        <w:rFonts w:ascii="Wingdings" w:hAnsi="Wingdings" w:hint="default"/>
      </w:rPr>
    </w:lvl>
    <w:lvl w:ilvl="3" w:tplc="BD82B5DC" w:tentative="1">
      <w:start w:val="1"/>
      <w:numFmt w:val="bullet"/>
      <w:lvlText w:val=""/>
      <w:lvlJc w:val="left"/>
      <w:pPr>
        <w:tabs>
          <w:tab w:val="num" w:pos="2880"/>
        </w:tabs>
        <w:ind w:left="2880" w:hanging="360"/>
      </w:pPr>
      <w:rPr>
        <w:rFonts w:ascii="Wingdings" w:hAnsi="Wingdings" w:hint="default"/>
      </w:rPr>
    </w:lvl>
    <w:lvl w:ilvl="4" w:tplc="43BA987E" w:tentative="1">
      <w:start w:val="1"/>
      <w:numFmt w:val="bullet"/>
      <w:lvlText w:val=""/>
      <w:lvlJc w:val="left"/>
      <w:pPr>
        <w:tabs>
          <w:tab w:val="num" w:pos="3600"/>
        </w:tabs>
        <w:ind w:left="3600" w:hanging="360"/>
      </w:pPr>
      <w:rPr>
        <w:rFonts w:ascii="Wingdings" w:hAnsi="Wingdings" w:hint="default"/>
      </w:rPr>
    </w:lvl>
    <w:lvl w:ilvl="5" w:tplc="A7027468" w:tentative="1">
      <w:start w:val="1"/>
      <w:numFmt w:val="bullet"/>
      <w:lvlText w:val=""/>
      <w:lvlJc w:val="left"/>
      <w:pPr>
        <w:tabs>
          <w:tab w:val="num" w:pos="4320"/>
        </w:tabs>
        <w:ind w:left="4320" w:hanging="360"/>
      </w:pPr>
      <w:rPr>
        <w:rFonts w:ascii="Wingdings" w:hAnsi="Wingdings" w:hint="default"/>
      </w:rPr>
    </w:lvl>
    <w:lvl w:ilvl="6" w:tplc="1632C43C" w:tentative="1">
      <w:start w:val="1"/>
      <w:numFmt w:val="bullet"/>
      <w:lvlText w:val=""/>
      <w:lvlJc w:val="left"/>
      <w:pPr>
        <w:tabs>
          <w:tab w:val="num" w:pos="5040"/>
        </w:tabs>
        <w:ind w:left="5040" w:hanging="360"/>
      </w:pPr>
      <w:rPr>
        <w:rFonts w:ascii="Wingdings" w:hAnsi="Wingdings" w:hint="default"/>
      </w:rPr>
    </w:lvl>
    <w:lvl w:ilvl="7" w:tplc="C23AE104" w:tentative="1">
      <w:start w:val="1"/>
      <w:numFmt w:val="bullet"/>
      <w:lvlText w:val=""/>
      <w:lvlJc w:val="left"/>
      <w:pPr>
        <w:tabs>
          <w:tab w:val="num" w:pos="5760"/>
        </w:tabs>
        <w:ind w:left="5760" w:hanging="360"/>
      </w:pPr>
      <w:rPr>
        <w:rFonts w:ascii="Wingdings" w:hAnsi="Wingdings" w:hint="default"/>
      </w:rPr>
    </w:lvl>
    <w:lvl w:ilvl="8" w:tplc="1508553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022"/>
    <w:rsid w:val="0002610B"/>
    <w:rsid w:val="00054085"/>
    <w:rsid w:val="000762C1"/>
    <w:rsid w:val="000B618F"/>
    <w:rsid w:val="000D76B9"/>
    <w:rsid w:val="001061B3"/>
    <w:rsid w:val="001E521B"/>
    <w:rsid w:val="00265D03"/>
    <w:rsid w:val="00350985"/>
    <w:rsid w:val="00366F60"/>
    <w:rsid w:val="00463DE8"/>
    <w:rsid w:val="00474A79"/>
    <w:rsid w:val="004A2928"/>
    <w:rsid w:val="004A379F"/>
    <w:rsid w:val="004F5C71"/>
    <w:rsid w:val="00533932"/>
    <w:rsid w:val="00537F82"/>
    <w:rsid w:val="005D6BE3"/>
    <w:rsid w:val="00652B1C"/>
    <w:rsid w:val="006D2431"/>
    <w:rsid w:val="007931F0"/>
    <w:rsid w:val="007E1913"/>
    <w:rsid w:val="00824022"/>
    <w:rsid w:val="008B439D"/>
    <w:rsid w:val="00985578"/>
    <w:rsid w:val="009C4618"/>
    <w:rsid w:val="00A22E92"/>
    <w:rsid w:val="00A26BD5"/>
    <w:rsid w:val="00A67103"/>
    <w:rsid w:val="00B54406"/>
    <w:rsid w:val="00BB436E"/>
    <w:rsid w:val="00C156E4"/>
    <w:rsid w:val="00C95614"/>
    <w:rsid w:val="00C96004"/>
    <w:rsid w:val="00CB503E"/>
    <w:rsid w:val="00CC48EE"/>
    <w:rsid w:val="00CD7DE8"/>
    <w:rsid w:val="00CF6D5C"/>
    <w:rsid w:val="00D73D49"/>
    <w:rsid w:val="00DC7E46"/>
    <w:rsid w:val="00E24D75"/>
    <w:rsid w:val="00E35DEC"/>
    <w:rsid w:val="00E37CDF"/>
    <w:rsid w:val="00EA7FEB"/>
    <w:rsid w:val="00FB0F0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13322"/>
  <w15:docId w15:val="{F3A7CA0F-869C-48F6-8A69-7CC79B9C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0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855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85578"/>
  </w:style>
  <w:style w:type="paragraph" w:styleId="Piedepgina">
    <w:name w:val="footer"/>
    <w:basedOn w:val="Normal"/>
    <w:link w:val="PiedepginaCar"/>
    <w:uiPriority w:val="99"/>
    <w:unhideWhenUsed/>
    <w:rsid w:val="009855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578"/>
  </w:style>
  <w:style w:type="paragraph" w:styleId="Textodeglobo">
    <w:name w:val="Balloon Text"/>
    <w:basedOn w:val="Normal"/>
    <w:link w:val="TextodegloboCar"/>
    <w:uiPriority w:val="99"/>
    <w:semiHidden/>
    <w:unhideWhenUsed/>
    <w:rsid w:val="009855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5578"/>
    <w:rPr>
      <w:rFonts w:ascii="Tahoma" w:hAnsi="Tahoma" w:cs="Tahoma"/>
      <w:sz w:val="16"/>
      <w:szCs w:val="16"/>
    </w:rPr>
  </w:style>
  <w:style w:type="table" w:styleId="Tablaconcuadrcula">
    <w:name w:val="Table Grid"/>
    <w:basedOn w:val="Tablanormal"/>
    <w:uiPriority w:val="59"/>
    <w:rsid w:val="00CF6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4A379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A379F"/>
    <w:rPr>
      <w:sz w:val="20"/>
      <w:szCs w:val="20"/>
    </w:rPr>
  </w:style>
  <w:style w:type="character" w:styleId="Refdenotaalpie">
    <w:name w:val="footnote reference"/>
    <w:basedOn w:val="Fuentedeprrafopredeter"/>
    <w:uiPriority w:val="99"/>
    <w:semiHidden/>
    <w:unhideWhenUsed/>
    <w:rsid w:val="004A379F"/>
    <w:rPr>
      <w:vertAlign w:val="superscript"/>
    </w:rPr>
  </w:style>
  <w:style w:type="character" w:styleId="Hipervnculo">
    <w:name w:val="Hyperlink"/>
    <w:basedOn w:val="Fuentedeprrafopredeter"/>
    <w:uiPriority w:val="99"/>
    <w:semiHidden/>
    <w:unhideWhenUsed/>
    <w:rsid w:val="00DC7E46"/>
    <w:rPr>
      <w:color w:val="0000FF"/>
      <w:u w:val="single"/>
    </w:rPr>
  </w:style>
  <w:style w:type="paragraph" w:styleId="Prrafodelista">
    <w:name w:val="List Paragraph"/>
    <w:basedOn w:val="Normal"/>
    <w:uiPriority w:val="34"/>
    <w:qFormat/>
    <w:rsid w:val="004F5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6369">
      <w:bodyDiv w:val="1"/>
      <w:marLeft w:val="0"/>
      <w:marRight w:val="0"/>
      <w:marTop w:val="0"/>
      <w:marBottom w:val="0"/>
      <w:divBdr>
        <w:top w:val="none" w:sz="0" w:space="0" w:color="auto"/>
        <w:left w:val="none" w:sz="0" w:space="0" w:color="auto"/>
        <w:bottom w:val="none" w:sz="0" w:space="0" w:color="auto"/>
        <w:right w:val="none" w:sz="0" w:space="0" w:color="auto"/>
      </w:divBdr>
    </w:div>
    <w:div w:id="197663053">
      <w:bodyDiv w:val="1"/>
      <w:marLeft w:val="0"/>
      <w:marRight w:val="0"/>
      <w:marTop w:val="0"/>
      <w:marBottom w:val="0"/>
      <w:divBdr>
        <w:top w:val="none" w:sz="0" w:space="0" w:color="auto"/>
        <w:left w:val="none" w:sz="0" w:space="0" w:color="auto"/>
        <w:bottom w:val="none" w:sz="0" w:space="0" w:color="auto"/>
        <w:right w:val="none" w:sz="0" w:space="0" w:color="auto"/>
      </w:divBdr>
    </w:div>
    <w:div w:id="334068850">
      <w:bodyDiv w:val="1"/>
      <w:marLeft w:val="0"/>
      <w:marRight w:val="0"/>
      <w:marTop w:val="0"/>
      <w:marBottom w:val="0"/>
      <w:divBdr>
        <w:top w:val="none" w:sz="0" w:space="0" w:color="auto"/>
        <w:left w:val="none" w:sz="0" w:space="0" w:color="auto"/>
        <w:bottom w:val="none" w:sz="0" w:space="0" w:color="auto"/>
        <w:right w:val="none" w:sz="0" w:space="0" w:color="auto"/>
      </w:divBdr>
    </w:div>
    <w:div w:id="385642406">
      <w:bodyDiv w:val="1"/>
      <w:marLeft w:val="0"/>
      <w:marRight w:val="0"/>
      <w:marTop w:val="0"/>
      <w:marBottom w:val="0"/>
      <w:divBdr>
        <w:top w:val="none" w:sz="0" w:space="0" w:color="auto"/>
        <w:left w:val="none" w:sz="0" w:space="0" w:color="auto"/>
        <w:bottom w:val="none" w:sz="0" w:space="0" w:color="auto"/>
        <w:right w:val="none" w:sz="0" w:space="0" w:color="auto"/>
      </w:divBdr>
    </w:div>
    <w:div w:id="780412960">
      <w:bodyDiv w:val="1"/>
      <w:marLeft w:val="0"/>
      <w:marRight w:val="0"/>
      <w:marTop w:val="0"/>
      <w:marBottom w:val="0"/>
      <w:divBdr>
        <w:top w:val="none" w:sz="0" w:space="0" w:color="auto"/>
        <w:left w:val="none" w:sz="0" w:space="0" w:color="auto"/>
        <w:bottom w:val="none" w:sz="0" w:space="0" w:color="auto"/>
        <w:right w:val="none" w:sz="0" w:space="0" w:color="auto"/>
      </w:divBdr>
    </w:div>
    <w:div w:id="942801700">
      <w:bodyDiv w:val="1"/>
      <w:marLeft w:val="0"/>
      <w:marRight w:val="0"/>
      <w:marTop w:val="0"/>
      <w:marBottom w:val="0"/>
      <w:divBdr>
        <w:top w:val="none" w:sz="0" w:space="0" w:color="auto"/>
        <w:left w:val="none" w:sz="0" w:space="0" w:color="auto"/>
        <w:bottom w:val="none" w:sz="0" w:space="0" w:color="auto"/>
        <w:right w:val="none" w:sz="0" w:space="0" w:color="auto"/>
      </w:divBdr>
    </w:div>
    <w:div w:id="1071853619">
      <w:bodyDiv w:val="1"/>
      <w:marLeft w:val="0"/>
      <w:marRight w:val="0"/>
      <w:marTop w:val="0"/>
      <w:marBottom w:val="0"/>
      <w:divBdr>
        <w:top w:val="none" w:sz="0" w:space="0" w:color="auto"/>
        <w:left w:val="none" w:sz="0" w:space="0" w:color="auto"/>
        <w:bottom w:val="none" w:sz="0" w:space="0" w:color="auto"/>
        <w:right w:val="none" w:sz="0" w:space="0" w:color="auto"/>
      </w:divBdr>
    </w:div>
    <w:div w:id="1211839489">
      <w:bodyDiv w:val="1"/>
      <w:marLeft w:val="0"/>
      <w:marRight w:val="0"/>
      <w:marTop w:val="0"/>
      <w:marBottom w:val="0"/>
      <w:divBdr>
        <w:top w:val="none" w:sz="0" w:space="0" w:color="auto"/>
        <w:left w:val="none" w:sz="0" w:space="0" w:color="auto"/>
        <w:bottom w:val="none" w:sz="0" w:space="0" w:color="auto"/>
        <w:right w:val="none" w:sz="0" w:space="0" w:color="auto"/>
      </w:divBdr>
    </w:div>
    <w:div w:id="1229343124">
      <w:bodyDiv w:val="1"/>
      <w:marLeft w:val="0"/>
      <w:marRight w:val="0"/>
      <w:marTop w:val="0"/>
      <w:marBottom w:val="0"/>
      <w:divBdr>
        <w:top w:val="none" w:sz="0" w:space="0" w:color="auto"/>
        <w:left w:val="none" w:sz="0" w:space="0" w:color="auto"/>
        <w:bottom w:val="none" w:sz="0" w:space="0" w:color="auto"/>
        <w:right w:val="none" w:sz="0" w:space="0" w:color="auto"/>
      </w:divBdr>
      <w:divsChild>
        <w:div w:id="1202209632">
          <w:marLeft w:val="432"/>
          <w:marRight w:val="0"/>
          <w:marTop w:val="91"/>
          <w:marBottom w:val="0"/>
          <w:divBdr>
            <w:top w:val="none" w:sz="0" w:space="0" w:color="auto"/>
            <w:left w:val="none" w:sz="0" w:space="0" w:color="auto"/>
            <w:bottom w:val="none" w:sz="0" w:space="0" w:color="auto"/>
            <w:right w:val="none" w:sz="0" w:space="0" w:color="auto"/>
          </w:divBdr>
        </w:div>
        <w:div w:id="1494949913">
          <w:marLeft w:val="432"/>
          <w:marRight w:val="0"/>
          <w:marTop w:val="91"/>
          <w:marBottom w:val="0"/>
          <w:divBdr>
            <w:top w:val="none" w:sz="0" w:space="0" w:color="auto"/>
            <w:left w:val="none" w:sz="0" w:space="0" w:color="auto"/>
            <w:bottom w:val="none" w:sz="0" w:space="0" w:color="auto"/>
            <w:right w:val="none" w:sz="0" w:space="0" w:color="auto"/>
          </w:divBdr>
        </w:div>
        <w:div w:id="1915434610">
          <w:marLeft w:val="432"/>
          <w:marRight w:val="0"/>
          <w:marTop w:val="91"/>
          <w:marBottom w:val="0"/>
          <w:divBdr>
            <w:top w:val="none" w:sz="0" w:space="0" w:color="auto"/>
            <w:left w:val="none" w:sz="0" w:space="0" w:color="auto"/>
            <w:bottom w:val="none" w:sz="0" w:space="0" w:color="auto"/>
            <w:right w:val="none" w:sz="0" w:space="0" w:color="auto"/>
          </w:divBdr>
        </w:div>
        <w:div w:id="1588684136">
          <w:marLeft w:val="432"/>
          <w:marRight w:val="0"/>
          <w:marTop w:val="91"/>
          <w:marBottom w:val="0"/>
          <w:divBdr>
            <w:top w:val="none" w:sz="0" w:space="0" w:color="auto"/>
            <w:left w:val="none" w:sz="0" w:space="0" w:color="auto"/>
            <w:bottom w:val="none" w:sz="0" w:space="0" w:color="auto"/>
            <w:right w:val="none" w:sz="0" w:space="0" w:color="auto"/>
          </w:divBdr>
        </w:div>
        <w:div w:id="1947692826">
          <w:marLeft w:val="432"/>
          <w:marRight w:val="0"/>
          <w:marTop w:val="91"/>
          <w:marBottom w:val="0"/>
          <w:divBdr>
            <w:top w:val="none" w:sz="0" w:space="0" w:color="auto"/>
            <w:left w:val="none" w:sz="0" w:space="0" w:color="auto"/>
            <w:bottom w:val="none" w:sz="0" w:space="0" w:color="auto"/>
            <w:right w:val="none" w:sz="0" w:space="0" w:color="auto"/>
          </w:divBdr>
        </w:div>
        <w:div w:id="1584218584">
          <w:marLeft w:val="432"/>
          <w:marRight w:val="0"/>
          <w:marTop w:val="91"/>
          <w:marBottom w:val="0"/>
          <w:divBdr>
            <w:top w:val="none" w:sz="0" w:space="0" w:color="auto"/>
            <w:left w:val="none" w:sz="0" w:space="0" w:color="auto"/>
            <w:bottom w:val="none" w:sz="0" w:space="0" w:color="auto"/>
            <w:right w:val="none" w:sz="0" w:space="0" w:color="auto"/>
          </w:divBdr>
        </w:div>
        <w:div w:id="271521386">
          <w:marLeft w:val="432"/>
          <w:marRight w:val="0"/>
          <w:marTop w:val="91"/>
          <w:marBottom w:val="0"/>
          <w:divBdr>
            <w:top w:val="none" w:sz="0" w:space="0" w:color="auto"/>
            <w:left w:val="none" w:sz="0" w:space="0" w:color="auto"/>
            <w:bottom w:val="none" w:sz="0" w:space="0" w:color="auto"/>
            <w:right w:val="none" w:sz="0" w:space="0" w:color="auto"/>
          </w:divBdr>
        </w:div>
        <w:div w:id="1654334816">
          <w:marLeft w:val="432"/>
          <w:marRight w:val="0"/>
          <w:marTop w:val="91"/>
          <w:marBottom w:val="0"/>
          <w:divBdr>
            <w:top w:val="none" w:sz="0" w:space="0" w:color="auto"/>
            <w:left w:val="none" w:sz="0" w:space="0" w:color="auto"/>
            <w:bottom w:val="none" w:sz="0" w:space="0" w:color="auto"/>
            <w:right w:val="none" w:sz="0" w:space="0" w:color="auto"/>
          </w:divBdr>
        </w:div>
        <w:div w:id="1999770768">
          <w:marLeft w:val="432"/>
          <w:marRight w:val="0"/>
          <w:marTop w:val="91"/>
          <w:marBottom w:val="0"/>
          <w:divBdr>
            <w:top w:val="none" w:sz="0" w:space="0" w:color="auto"/>
            <w:left w:val="none" w:sz="0" w:space="0" w:color="auto"/>
            <w:bottom w:val="none" w:sz="0" w:space="0" w:color="auto"/>
            <w:right w:val="none" w:sz="0" w:space="0" w:color="auto"/>
          </w:divBdr>
        </w:div>
        <w:div w:id="1877966835">
          <w:marLeft w:val="432"/>
          <w:marRight w:val="0"/>
          <w:marTop w:val="91"/>
          <w:marBottom w:val="0"/>
          <w:divBdr>
            <w:top w:val="none" w:sz="0" w:space="0" w:color="auto"/>
            <w:left w:val="none" w:sz="0" w:space="0" w:color="auto"/>
            <w:bottom w:val="none" w:sz="0" w:space="0" w:color="auto"/>
            <w:right w:val="none" w:sz="0" w:space="0" w:color="auto"/>
          </w:divBdr>
        </w:div>
      </w:divsChild>
    </w:div>
    <w:div w:id="1238318360">
      <w:bodyDiv w:val="1"/>
      <w:marLeft w:val="0"/>
      <w:marRight w:val="0"/>
      <w:marTop w:val="0"/>
      <w:marBottom w:val="0"/>
      <w:divBdr>
        <w:top w:val="none" w:sz="0" w:space="0" w:color="auto"/>
        <w:left w:val="none" w:sz="0" w:space="0" w:color="auto"/>
        <w:bottom w:val="none" w:sz="0" w:space="0" w:color="auto"/>
        <w:right w:val="none" w:sz="0" w:space="0" w:color="auto"/>
      </w:divBdr>
    </w:div>
    <w:div w:id="1239367847">
      <w:bodyDiv w:val="1"/>
      <w:marLeft w:val="0"/>
      <w:marRight w:val="0"/>
      <w:marTop w:val="0"/>
      <w:marBottom w:val="0"/>
      <w:divBdr>
        <w:top w:val="none" w:sz="0" w:space="0" w:color="auto"/>
        <w:left w:val="none" w:sz="0" w:space="0" w:color="auto"/>
        <w:bottom w:val="none" w:sz="0" w:space="0" w:color="auto"/>
        <w:right w:val="none" w:sz="0" w:space="0" w:color="auto"/>
      </w:divBdr>
    </w:div>
    <w:div w:id="1626621620">
      <w:bodyDiv w:val="1"/>
      <w:marLeft w:val="0"/>
      <w:marRight w:val="0"/>
      <w:marTop w:val="0"/>
      <w:marBottom w:val="0"/>
      <w:divBdr>
        <w:top w:val="none" w:sz="0" w:space="0" w:color="auto"/>
        <w:left w:val="none" w:sz="0" w:space="0" w:color="auto"/>
        <w:bottom w:val="none" w:sz="0" w:space="0" w:color="auto"/>
        <w:right w:val="none" w:sz="0" w:space="0" w:color="auto"/>
      </w:divBdr>
    </w:div>
    <w:div w:id="211651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meo.com/user33046253/review/415324419/54bcf2d14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t-on-gender.eu/survey/index.php/511548?lang=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A8C5DC-44C4-4F19-8089-494627ACF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1718</Words>
  <Characters>9453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Blas Fernandez</cp:lastModifiedBy>
  <cp:revision>2</cp:revision>
  <dcterms:created xsi:type="dcterms:W3CDTF">2020-05-11T13:09:00Z</dcterms:created>
  <dcterms:modified xsi:type="dcterms:W3CDTF">2020-05-11T13:09:00Z</dcterms:modified>
</cp:coreProperties>
</file>